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560" w:lineRule="exact"/>
      </w:pPr>
      <w:r>
        <w:rPr>
          <w:rFonts w:ascii="黑体" w:hAnsi="黑体" w:eastAsia="黑体"/>
          <w:b/>
          <w:sz w:val="32"/>
        </w:rPr>
        <w:t>7月10日媒体信息摘报</w:t>
      </w:r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浪潮云洲：给制造业装上“智慧大脑”</w:t>
      </w:r>
    </w:p>
    <w:p>
      <w:pPr>
        <w:spacing w:line="560" w:lineRule="exact"/>
        <w:ind w:firstLine="420"/>
      </w:pPr>
      <w:r>
        <w:rPr>
          <w:rFonts w:ascii="仿宋_GB2312" w:hAnsi="仿宋_GB2312" w:eastAsia="仿宋_GB2312"/>
          <w:b w:val="0"/>
          <w:sz w:val="32"/>
        </w:rPr>
        <w:t>浪潮云洲以工业互联网与人工智能技术赋能制造业数字化转型，将散落在车间、设备日志和老师傅经验中的知识转化为可沉淀、复制、共享的产业能力。一是搭建数字底座，嵌入制造现场。累计申请千余项专利，形成200余项平台解决方案和50余款软硬一体化产品，60余项技术达国内领先及以上水平，30余个案例获评国家级数智化转型示范。二是自主研发工业垂域大模型。知业大模型成为山东省首个通过国家网信办双备案的工业大模型，已打造15个垂域大模型、43个行业智能体，覆盖化工、装备、线缆、新能源等领域，进入工艺优化、视觉质检、设备运维等关键环节。三是面向大型链主企业提供全流程定制化深度改造方案，面向中小企业输出轻量化、订阅式转型服务。建设运营国家级中小企业数字化转型促进中心，累计汇聚服务商1100多家，月均服务中小企业1500多家。四是承担建设运营国家人工智能应用中试基地（工业软件）任务，围绕算力、模型、数据、开发工具链、安全运维五大体系，为AI嵌入工业软件提供公共支撑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（信息来源：大众日报7月10日《浪潮云洲：给制造业装上“智慧大脑”》  https://baijiahao.baidu.com/s?id=1870281086532451397）</w:t>
      </w:r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国产大模型研发开启“算力自主”</w:t>
      </w:r>
    </w:p>
    <w:p>
      <w:pPr>
        <w:spacing w:line="560" w:lineRule="exact"/>
        <w:ind w:firstLine="420"/>
      </w:pPr>
      <w:r>
        <w:rPr>
          <w:rFonts w:ascii="仿宋_GB2312" w:hAnsi="仿宋_GB2312" w:eastAsia="仿宋_GB2312"/>
          <w:b w:val="0"/>
          <w:sz w:val="32"/>
        </w:rPr>
        <w:t>粤港澳大湾区首个“国芯训国模”昇腾万卡智算集群在韶关上线，标志着国产大模型研发进入“算力自主”新阶段。一是部署超万张昇腾国产AI加速卡，总投资约55亿元，建成9000P（FP16）统一智算资源池，规模位居大湾区全国产万卡训练集群前列。二是通过自研高速互联技术构建全对等互联架构，整体性能对标国际领先水平，全面采用冷板式液冷散热工程技术，形成可复制、可推广的“广东国产万卡集群建设标准”。三是锚定“国芯训国模”核心定位，重点承接新一代万亿参数全国产MoE基础大模型研发攻关，主攻代码生成、智能体自主决策等高端AI核心能力突破。四是搭建芯片、网络、训练框架全链路国产化试验验证平台，依托万卡级规模化算力开展专项攻坚，打通算力底座、训练框架、模型研发、场景应用全链条国产化闭环，沉淀大规模国产算力训练超大参数模型的成熟经验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（信息来源：南方日报7月10日《国产大模型研发开启“算力自主”》  https://epaper.nfnews.com/nfdaily/html/202607/10/content_10175414.html）</w:t>
      </w:r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一张球票联动全城 前沿科技点亮赛场</w:t>
      </w:r>
    </w:p>
    <w:p>
      <w:pPr>
        <w:spacing w:line="560" w:lineRule="exact"/>
        <w:ind w:firstLine="420"/>
      </w:pPr>
      <w:r>
        <w:rPr>
          <w:rFonts w:ascii="仿宋_GB2312" w:hAnsi="仿宋_GB2312" w:eastAsia="仿宋_GB2312"/>
          <w:b w:val="0"/>
          <w:sz w:val="32"/>
        </w:rPr>
        <w:t>深圳以“票根经济”模式将粤BA体育赛事转化为全域消费流量入口，科技打底、消费搭桥、城市共情，重新划定群众体育赛事的价值边界。一是政企协同构建“票根经济”生态。将赛事纳入“购在中国2026深圳新型消费季”核心场景，8.8元惠民观赛票联动全市160余家商户专属折扣；叠加粤超、文博会等IP，全市联动商户超5000家，覆盖餐饮、住宿、景区、休闲全业态。赛事首周带动关联消费突破2000万元。二是硬核技术融入赛事现场。深圳人才公园升空两块各75平方米无人机牵引飞天屏为赛事预热；揭幕战机器人乐队登台演奏、机器狗巡游互动，实现竞技、科技、人文三者融合。三是打造{LQ}深河联动{RQ}嘉年华。设置六大主题展区60余摊位，集科创产品、文创周边、本地非遗和特色美食于一体，形成硬核智造搭配市井烟火的专属赛事氛围。四是城市IP跨城互动。深圳与河源大屏隔空对话刷屏网络，中场互赠斯达高陶瓷等三件套城市伴手礼成固定仪式，将车牌代码“粤B”打造为全民共享的城市情感符号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（信息来源：南方日报7月10日《一张球票联动全城 前沿科技点亮赛场》  https://epaper.nfnews.com/nfdaily/html/202607/10/content_10175417.html）</w:t>
      </w:r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以法治护航应用场景创新</w:t>
      </w:r>
    </w:p>
    <w:p>
      <w:pPr>
        <w:spacing w:line="560" w:lineRule="exact"/>
        <w:ind w:firstLine="420"/>
      </w:pPr>
      <w:r>
        <w:rPr>
          <w:rFonts w:ascii="仿宋_GB2312" w:hAnsi="仿宋_GB2312" w:eastAsia="仿宋_GB2312"/>
          <w:b w:val="0"/>
          <w:sz w:val="32"/>
        </w:rPr>
        <w:t>全国首部规范应用场景创新的地方性法规——《珠海经济特区应用场景创新促进条例》发布，共六章六十五条，将于8月1日起施行。一是突出企业主体地位。支持行业领军企业、产业链链主企业围绕关键技术研发开展场景创新；鼓励大中小企业结成场景联合体，支持底层技术跨界示范应用；鼓励专精特新{LQ}小巨人{RQ}、独角兽、科技型中小企业参与城市和产业场景建设。二是创新政府采购机制。引入合作创新采购方式，由采购单位从研发环节提前介入，先购买研发服务再购买研发产品，审批权限下放至市级；无销售业绩但符合技术质量规范的新产品可参与政府项目投标，通过政府首购、订购促进规模化应用。三是坚持产业导向布局标杆场景。围绕具身智能、人工智能、低空经济、海洋经济、生物医疗、新能源等重点领域，以点带面引领新技术新产品大规模应用示范。四是创设琴澳协同专章。支持建设国际先进技术应用推进中心，构建跨境物流试点通道和跨境监管场景，推广{LQ}一会展两地{RQ}办展模式，开发琴澳{LQ}一程多站{RQ}旅游路线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（信息来源：南方日报7月10日《以法治护航应用场景创新》  https://epaper.nfnews.com/nfdaily/html/202607/10/content_10175392.html）</w:t>
      </w:r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沈抚示范区数智产业赋能产业园揭牌</w:t>
      </w:r>
    </w:p>
    <w:p>
      <w:pPr>
        <w:spacing w:line="560" w:lineRule="exact"/>
        <w:ind w:firstLine="420"/>
      </w:pPr>
      <w:r>
        <w:rPr>
          <w:rFonts w:ascii="仿宋_GB2312" w:hAnsi="仿宋_GB2312" w:eastAsia="仿宋_GB2312"/>
          <w:b w:val="0"/>
          <w:sz w:val="32"/>
        </w:rPr>
        <w:t>沈抚示范区联手哈尔滨工业大学人工智能研究院打造集技术展示、成果转化、人才培育于一体的AI产业实体载体。一是建设一体化实景展示展厅。落地智慧农业、矿山安全监测、AI研学三大示范场景，面向全省企业提供数字化转型诊断和定制化AI解决方案。二是构建创新联合体机制。联动相关部门、本地院校及园区企业，搭建联合实验室和技术攻关专班，打通{LQ}基础研究—技术攻关—场景落地{RQ}完整创新链条。三是常态化开展AI人才培育。面向省内中小学、职业院校、企业技术人员开设分层AI课程，持续输出人工智能训练师、数字化工程师等实用型人才，补齐数字产业人才短板。四是产业园定位为校企战略合作的实体载体、展示窗口与落地枢纽，以产业园为支点推动AI技术深度赋能矿山、农业、教育等重点行业，促进数字经济与实体经济深度融合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（信息来源：辽宁日报7月10日《沈抚示范区数智产业赋能产业园揭牌》  https://epaper.lnd.com.cn/lnrbepaper/pc/con/202607/10/content_332060.html）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