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黑体" w:hAnsi="黑体" w:eastAsia="黑体"/>
          <w:b/>
          <w:sz w:val="44"/>
        </w:rPr>
        <w:t>媒体信息摘报</w:t>
      </w:r>
    </w:p>
    <w:p>
      <w:pPr>
        <w:spacing w:line="240" w:lineRule="auto"/>
        <w:jc w:val="center"/>
      </w:pPr>
      <w:r>
        <w:rPr>
          <w:rFonts w:ascii="仿宋_GB2312" w:hAnsi="仿宋_GB2312" w:eastAsia="仿宋_GB2312"/>
          <w:b w:val="0"/>
          <w:sz w:val="32"/>
        </w:rPr>
        <w:t>2026年10月22日　省级党报经济·科技·消费创新举措精选（福建省可借鉴）</w:t>
      </w:r>
    </w:p>
    <w:p>
      <w:pPr>
        <w:spacing w:line="240" w:lineRule="auto" w:before="240"/>
      </w:pPr>
      <w:r>
        <w:rPr>
          <w:rFonts w:ascii="黑体" w:hAnsi="黑体" w:eastAsia="黑体"/>
          <w:b/>
          <w:sz w:val="32"/>
        </w:rPr>
        <w:t>1. 以场景供给助力产业“聚势成峰”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国家发展改革委联合多部门发布首批136项标志性重大应用场景项目，江苏8个项目入选，上榜数量居全国前列。入选项目兼顾实体经济与未来赛道，既涵盖工业操作系统、江铁海多式联运等产业升级项目，又布局新型储能、具身智能等前沿领域，同时回应医疗康养民生需求，实现产业价值与民生价值双向统一。江苏以场景供给破解“实验室成果多、市场产品少”的转化困境，把现实需求转化为创新机遇。具体举措如下：一是推动产业政策从“给土地、给补贴”转向“给场景、给机会”，用真实场景需求反向定义技术研发方向，让新技术在实战中完成测试迭代，形成“技术突破—场景验证—产业应用—体系升级”闭环。二是建设南京新型工业操作系统数字基座智能协同多应用场景，在真实工业环境下验证国产基础软件可靠性，带动上下游软硬件企业协同攻关，培育工业软件生态。三是打造南京—北部湾江铁海多式联运全链条开放应用场景，跨区域联动打通物流堵点，打磨多式联运技术方案与运营模式，带动物流装备、数字调度等配套产业成长。四是敞开场景机会，将场景资源作为公共资源向中小企业、科研院所开放，鼓励参与场景配套开发，在项目协作中成长。五是政府角色从直接投资转向供给场景、搭建平台、完善规则，联动首台（套）装备、首批次材料、首版次软件等扶持政策，降低企业试错成本；项目规划立足本地产业禀赋，杜绝同质化，鼓励跨区域协同联动，持续放大场景辐射力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（信息来源：新华日报10月22日《以场景供给助力产业“聚势成峰”》  https://xh.xhby.net/pad/con/202610/22/content_1599187.html）</w:t>
      </w:r>
    </w:p>
    <w:p>
      <w:pPr>
        <w:spacing w:line="240" w:lineRule="auto" w:before="240"/>
      </w:pPr>
      <w:r>
        <w:rPr>
          <w:rFonts w:ascii="黑体" w:hAnsi="黑体" w:eastAsia="黑体"/>
          <w:b/>
          <w:sz w:val="32"/>
        </w:rPr>
        <w:t>2. 贯彻新发展理念 推动高质量发展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河南日报刊发省第十二次党代会报告摘要与导读，系统部署以新发展理念推动高质量发展的路径，提出一批可操作举措。一是实施传统产业焕新、新兴产业创新、未来产业育新“三大行动”，优化重点产业链群培育机制，加快场景培育和开放，加速新技术新产品新业态规模化商业化应用。二是坚持“人工智能+”与“数据要素×”双轮驱动，推动人工智能赋能千行百业，扩大公共数据资源供给，深化数据要素开发利用与流通交易，打造数字经济创新发展高地，发展智能经济新形态。三是健全“产业出题、科技答题”协同机制，强化企业科技创新主体地位，推动更多科技成果转化为现实生产力，凝练实施省级重大科技专项和重点研发专项；深化金融全链条全生命周期服务，完善投早、投小、投长期、投硬科技的支持政策。四是加强“六张网”规划建设，推动高速铁路织“米”成网、铁路货运补网强链，畅通中部便捷出海水运通道，构建“一枢多支”民用机场格局，完善现代化综合交通运输体系。五是拓展政务服务“免证可办”“跨城通办”“无感审批”事项范围，让“高效办成一件事”更顺心省心；深入实施提振消费专项行动，促进服务消费提质惠民、商品消费扩容升级，构建多层级消费体系，创新打造消费场景，优化消费环境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（信息来源：河南日报10月22日《贯彻新发展理念 推动高质量发展》  https://dzb.henandaily.cn/html5/2026-10/22/content_13_1816111.htm）</w:t>
      </w:r>
    </w:p>
    <w:p>
      <w:pPr>
        <w:spacing w:line="240" w:lineRule="auto" w:before="240"/>
      </w:pPr>
      <w:r>
        <w:rPr>
          <w:rFonts w:ascii="黑体" w:hAnsi="黑体" w:eastAsia="黑体"/>
          <w:b/>
          <w:sz w:val="32"/>
        </w:rPr>
        <w:t>3. 聚力蓄能 向新而行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天津前三季度经济运行述评提出以推进京津冀协同发展为战略牵引，做实高质量发展“十项行动”，推出一批促消费、育新兴产业的具体举措。一是推进消费新业态新模式新场景试点建设，开通“津旅时光号”天津北站—北京站线路，实现“登车即体验、出行即参观”；运营天津—仁川邮轮双母港航线，落地无目的地海上游试点；举办世界智能产业博览会、中国文化旅游产业博览会等展会聚人气、促消费。二是实施服务业扩能提质20条措施，擦亮融资租赁产业名片，东疆综保区累计租赁飞机超2600架、发动机超300台，吸引航空金融对外开放新主体设立；天津港构建多式联运体系，提升港口通道能级与枢纽能级。三是培育新质生产力，天开园“一核两翼多点”累计引育企业超5700家；发布国内首个全国产十万卡AI超集群曙光8000；印发《脑机接口创新发展行动计划（2026—2030年）》，揭牌天津脑机接口产业集团；“117项目”片区打造机器人小镇，宇树科技等行业龙头落子天津。四是落实消费品以旧换新、有奖发票等政策，前三季度绿色智能商品销售旺盛，智能手机零售额增长24.5%，高能效家电零售额增长91.3%，网络零售持续增长；高技术产业投资增长41.8%，新动能积蓄后劲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（信息来源：天津日报10月22日《聚力蓄能 向新而行》  https://epaper.tianjinwe.com/tjrb/html/2026-10/22/content_143080_3941824.htm）</w:t>
      </w:r>
    </w:p>
    <w:p>
      <w:pPr>
        <w:spacing w:line="240" w:lineRule="auto" w:before="240"/>
      </w:pPr>
      <w:r>
        <w:rPr>
          <w:rFonts w:ascii="黑体" w:hAnsi="黑体" w:eastAsia="黑体"/>
          <w:b/>
          <w:sz w:val="32"/>
        </w:rPr>
        <w:t>4. 长缨在手，实干为锋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宁夏日报以“长缨在手，实干为锋”为题，报道宁夏以改革赋能、创新争先推动高质量发展的系列实招。报道指出，长缨不再只是枪杆上的红绳，而是宁夏破局突围的实干举措，贯穿“向存量要增量、向并联要速度、向绿色要算力、向细微处要自主”的路径，不坐等风口降临，而是向改革要动力、向创新要活力。具体举措如下：一是盘活存量土地，推进毓秀公园地下空间垂直复合利用，以垂直复合利用唤醒闲置边角，让排涝、停车与绿意在一方林下共生，提升土地利用效率与城市韧性。二是再造政务效能，设立市民大厅专窗，将企业不动产过户由原本苦等7天压缩至1小时拿证，用流程重塑疏通要素配置堵点，降低制度性交易成本，让数据多跑路、群众少跑腿。三是算力筑基，中卫十年磨一剑筑起智算枢纽，以“源网荷储”一体化协同抢抓“东数西算”时代风口，推动绿色算力集聚与产业链配套，把戈壁荒滩变成数字高地。四是仪器破壁，依靠雾化器自主攻关让沉睡仪器重获新生，为科研创新卸下进口依赖的枷锁，提升自主可控能力。从盘活存量土地，到再造政务效能，再到算力筑基、仪器破壁，“改革赋能、创新争先”的主线一以贯之，今日长缨精准落在每一寸被唤醒的土地、每一次被压缩的审批、每一个奔涌的字节里，宁夏正把国家战略势能稳稳锻造成高质量发展的生动实景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（信息来源：宁夏日报10月22日《长缨在手，实干为锋》  https://k.sina.com.cn/article_7517400647_1c0126e4705909czac.html）</w:t>
      </w:r>
    </w:p>
    <w:p>
      <w:pPr>
        <w:spacing w:line="240" w:lineRule="auto" w:before="240"/>
      </w:pPr>
      <w:r>
        <w:rPr>
          <w:rFonts w:ascii="黑体" w:hAnsi="黑体" w:eastAsia="黑体"/>
          <w:b/>
          <w:sz w:val="32"/>
        </w:rPr>
        <w:t>5. 提升核心竞争力 发挥顶梁柱作用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四川召开全省进一步深化国资国企改革工作推进会议，出台《四川省进一步深化国资国企改革实施方案》，聚焦主责主业，针对国资国企“大而不强”“大而不优”、产业布局不优、主业聚焦不够等痛点，推出系列可复制改革举措。一是强化分类管理，制定企业功能界定与分类管理办法，将省属企业分为投资运营、产业发展、功能保障、金融服务、文化产业五类，建成主业管理数字化平台开展动态监测，严守非主业投资占比不超过10%底线。二是发展壮大实体产业，深化战略性新兴产业培育行动，前瞻布局未来产业，力争到2029年省属企业新兴产业投资占比超20%、六大优势产业营收增长50%以上。三是实施专精特新企业培育专项行动，出台“经认定的新增专精特新培育企业不受法人户数管控限制”、研发费用视同利润加回等措施，梯次培育一批科技型和创新型企业。四是构建“投贷债担保”联动机制，完善“基金投资+银行信贷+担保增信”科技金融服务模式，提供耐心资本，服务投早投小投硬科技。五是建立容亏容错和强制跟投机制，发挥长期资本、耐心资本、战略资本作用，因地制宜开展投资；如成都高新投资集团近五年累计股权投资超600亿元，近三年新质生产力投资年均增长15%、占总投资比重超75%。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32"/>
        </w:rPr>
        <w:t>（信息来源：四川日报10月22日《提升核心竞争力 发挥顶梁柱作用》  https://epaper.scdaily.cn/shtml/scrb/20261022/1092618.html）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