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560" w:lineRule="exact"/>
        <w:jc w:val="center"/>
      </w:pPr>
      <w:r>
        <w:rPr>
          <w:rFonts w:ascii="黑体" w:cs="黑体" w:eastAsia="黑体" w:hAnsi="黑体"/>
          <w:b/>
          <w:bCs/>
          <w:sz w:val="32"/>
          <w:szCs w:val="32"/>
        </w:rPr>
        <w:t xml:space="preserve">媒体信息摘报</w:t>
      </w:r>
    </w:p>
    <w:p>
      <w:pPr>
        <w:spacing w:line="560" w:lineRule="exact"/>
        <w:ind w:firstLine="480"/>
      </w:pPr>
      <w:r>
        <w:rPr>
          <w:rFonts w:ascii="仿宋_GB2312" w:cs="仿宋_GB2312" w:eastAsia="仿宋_GB2312" w:hAnsi="仿宋_GB2312"/>
          <w:sz w:val="32"/>
          <w:szCs w:val="32"/>
        </w:rPr>
        <w:t xml:space="preserve"/>
      </w:r>
    </w:p>
    <w:p>
      <w:pPr>
        <w:spacing w:line="560" w:lineRule="exact"/>
        <w:jc w:val="center"/>
      </w:pPr>
      <w:r>
        <w:rPr>
          <w:rFonts w:ascii="仿宋_GB2312" w:cs="仿宋_GB2312" w:eastAsia="仿宋_GB2312" w:hAnsi="仿宋_GB2312"/>
          <w:sz w:val="32"/>
          <w:szCs w:val="32"/>
        </w:rPr>
        <w:t xml:space="preserve">2026年6月23日</w:t>
      </w:r>
    </w:p>
    <w:p>
      <w:pPr>
        <w:spacing w:line="560" w:lineRule="exact"/>
        <w:ind w:firstLine="480"/>
      </w:pPr>
      <w:r>
        <w:rPr>
          <w:rFonts w:ascii="仿宋_GB2312" w:cs="仿宋_GB2312" w:eastAsia="仿宋_GB2312" w:hAnsi="仿宋_GB2312"/>
          <w:sz w:val="32"/>
          <w:szCs w:val="32"/>
        </w:rPr>
        <w:t xml:space="preserve"/>
      </w:r>
    </w:p>
    <w:p>
      <w:pPr>
        <w:spacing w:line="560" w:lineRule="exact"/>
        <w:ind w:firstLine="480"/>
      </w:pPr>
      <w:r>
        <w:rPr>
          <w:rFonts w:ascii="仿宋_GB2312" w:cs="仿宋_GB2312" w:eastAsia="仿宋_GB2312" w:hAnsi="仿宋_GB2312"/>
          <w:sz w:val="32"/>
          <w:szCs w:val="32"/>
        </w:rPr>
        <w:t xml:space="preserve">今日摘报聚焦省级党报经济、科技、消费领域创新举措，精选5条当日新闻，重点选取福建省可借鉴的新举措、新模式、新路径。</w:t>
      </w:r>
    </w:p>
    <w:p>
      <w:pPr>
        <w:spacing w:line="560" w:lineRule="exact"/>
        <w:ind w:firstLine="480"/>
      </w:pPr>
      <w:r>
        <w:rPr>
          <w:rFonts w:ascii="仿宋_GB2312" w:cs="仿宋_GB2312" w:eastAsia="仿宋_GB2312" w:hAnsi="仿宋_GB2312"/>
          <w:sz w:val="32"/>
          <w:szCs w:val="32"/>
        </w:rPr>
        <w:t xml:space="preserve"/>
      </w:r>
    </w:p>
    <w:p>
      <w:pPr>
        <w:spacing w:before="200" w:line="560" w:lineRule="exact"/>
        <w:ind w:firstLine="480"/>
      </w:pPr>
      <w:r>
        <w:rPr>
          <w:rFonts w:ascii="仿宋_GB2312" w:cs="仿宋_GB2312" w:eastAsia="仿宋_GB2312" w:hAnsi="仿宋_GB2312"/>
          <w:b/>
          <w:bCs/>
          <w:sz w:val="32"/>
          <w:szCs w:val="32"/>
        </w:rPr>
        <w:t xml:space="preserve">1. 算力进厂 制造焕新</w:t>
      </w:r>
    </w:p>
    <w:p>
      <w:pPr>
        <w:spacing w:line="560" w:lineRule="exact"/>
        <w:ind w:firstLine="480"/>
      </w:pPr>
      <w:r>
        <w:rPr>
          <w:rFonts w:ascii="仿宋_GB2312" w:cs="仿宋_GB2312" w:eastAsia="仿宋_GB2312" w:hAnsi="仿宋_GB2312"/>
          <w:sz w:val="32"/>
          <w:szCs w:val="32"/>
        </w:rPr>
        <w:t xml:space="preserve">广东省科学院江门产业技术研究院与中山大学合作，在江门蓬江区共建国家超级计算广州中心江门分中心，将超算能力下沉到制造业一线，一批传统中小型企业借助超算大幅缩短研发迭代周期，探索出以现代服务业赋能实体制造的新路径。</w:t>
      </w:r>
    </w:p>
    <w:p>
      <w:pPr>
        <w:spacing w:line="560" w:lineRule="exact"/>
        <w:ind w:firstLine="480"/>
      </w:pPr>
      <w:r>
        <w:rPr>
          <w:rFonts w:ascii="仿宋_GB2312" w:cs="仿宋_GB2312" w:eastAsia="仿宋_GB2312" w:hAnsi="仿宋_GB2312"/>
          <w:sz w:val="32"/>
          <w:szCs w:val="32"/>
        </w:rPr>
        <w:t xml:space="preserve">一是搭建共享算力平台，降低中小企业研发门槛。依托超算星光平台"开箱即用"应用云，企业无需自建仿真体系（年均综合成本可达数十万元），即可完成数字化建模与仿真测试。以摩托车发动机轻量化研发为例，数十组涉及上千万网格力学计算单元的方案，借助超算并行计算能力可在15天内全部完成测算，仿真结果与物理实测吻合度达90%以上，省去中间多轮无效试错成本。目前，中心仿真分析服务已覆盖超20家摩托车企业，提供车架模态计算、应力应变分析、发动机零部件强度与疲劳寿命评估等专业技术支持。</w:t>
      </w:r>
    </w:p>
    <w:p>
      <w:pPr>
        <w:spacing w:line="560" w:lineRule="exact"/>
        <w:ind w:firstLine="480"/>
      </w:pPr>
      <w:r>
        <w:rPr>
          <w:rFonts w:ascii="仿宋_GB2312" w:cs="仿宋_GB2312" w:eastAsia="仿宋_GB2312" w:hAnsi="仿宋_GB2312"/>
          <w:sz w:val="32"/>
          <w:szCs w:val="32"/>
        </w:rPr>
        <w:t xml:space="preserve">二是以"算力+材质数据库"攻克非标材料仿真难题。针对藤条、实木等天然材料性能离散度高的特点，技术团队基于已有材料性能数据库校准仿真参数，再依托超算完成材料性能匹配与结构力学仿真。恒达家居工艺制品有限公司通过该模式，新产品首轮物理打样即通过核心力学与耐候性能测试，研发打样成本从20余万元压缩至约5万元，研发周期从9个月缩短至7个月。</w:t>
      </w:r>
    </w:p>
    <w:p>
      <w:pPr>
        <w:spacing w:line="560" w:lineRule="exact"/>
        <w:ind w:firstLine="480"/>
      </w:pPr>
      <w:r>
        <w:rPr>
          <w:rFonts w:ascii="仿宋_GB2312" w:cs="仿宋_GB2312" w:eastAsia="仿宋_GB2312" w:hAnsi="仿宋_GB2312"/>
          <w:sz w:val="32"/>
          <w:szCs w:val="32"/>
        </w:rPr>
        <w:t xml:space="preserve">三是构建多领域超算应用服务体系。截至目前，中心依托超算算力与技术支撑，已累计为全市35家企业提供服务，覆盖高端装备、摩托车、家具家电、生物医药等多个领域，初步形成适配本地产业的超算应用服务体系。今年5月，江门市人工智能赋能制造业应用场景推广中心正式揭牌，更多超算与AI技术将落地生产一线。</w:t>
      </w:r>
    </w:p>
    <w:p>
      <w:pPr>
        <w:spacing w:line="560" w:lineRule="exact"/>
        <w:ind w:firstLine="480"/>
      </w:pPr>
      <w:r>
        <w:rPr>
          <w:rFonts w:ascii="仿宋_GB2312" w:cs="仿宋_GB2312" w:eastAsia="仿宋_GB2312" w:hAnsi="仿宋_GB2312"/>
          <w:sz w:val="32"/>
          <w:szCs w:val="32"/>
        </w:rPr>
        <w:t xml:space="preserve">（信息来源：南方日报6月23日《算力进厂 制造焕新》  https://epaper.nfnews.com/nfdaily/html/202606/23/content_10173724.html）</w:t>
      </w:r>
    </w:p>
    <w:p>
      <w:pPr>
        <w:spacing w:line="560" w:lineRule="exact"/>
        <w:ind w:firstLine="480"/>
      </w:pPr>
      <w:r>
        <w:rPr>
          <w:rFonts w:ascii="仿宋_GB2312" w:cs="仿宋_GB2312" w:eastAsia="仿宋_GB2312" w:hAnsi="仿宋_GB2312"/>
          <w:sz w:val="32"/>
          <w:szCs w:val="32"/>
        </w:rPr>
        <w:t xml:space="preserve"/>
      </w:r>
    </w:p>
    <w:p>
      <w:pPr>
        <w:spacing w:before="200" w:line="560" w:lineRule="exact"/>
        <w:ind w:firstLine="480"/>
      </w:pPr>
      <w:r>
        <w:rPr>
          <w:rFonts w:ascii="仿宋_GB2312" w:cs="仿宋_GB2312" w:eastAsia="仿宋_GB2312" w:hAnsi="仿宋_GB2312"/>
          <w:b/>
          <w:bCs/>
          <w:sz w:val="32"/>
          <w:szCs w:val="32"/>
        </w:rPr>
        <w:t xml:space="preserve">2. 优服务强要素聚链条 打造"万亩千亿"产业平台</w:t>
      </w:r>
    </w:p>
    <w:p>
      <w:pPr>
        <w:spacing w:line="560" w:lineRule="exact"/>
        <w:ind w:firstLine="480"/>
      </w:pPr>
      <w:r>
        <w:rPr>
          <w:rFonts w:ascii="仿宋_GB2312" w:cs="仿宋_GB2312" w:eastAsia="仿宋_GB2312" w:hAnsi="仿宋_GB2312"/>
          <w:sz w:val="32"/>
          <w:szCs w:val="32"/>
        </w:rPr>
        <w:t xml:space="preserve">广东肇庆大型产业集聚区以"全肇办"企业服务体系为支撑，创新推行系列产业要素保障机制，平均每3.5天引进一个项目，累计签约产业项目358个、计划总投资额超1046亿元，走出了一条以一流营商环境吸引企业落户的新路径。</w:t>
      </w:r>
    </w:p>
    <w:p>
      <w:pPr>
        <w:spacing w:line="560" w:lineRule="exact"/>
        <w:ind w:firstLine="480"/>
      </w:pPr>
      <w:r>
        <w:rPr>
          <w:rFonts w:ascii="仿宋_GB2312" w:cs="仿宋_GB2312" w:eastAsia="仿宋_GB2312" w:hAnsi="仿宋_GB2312"/>
          <w:sz w:val="32"/>
          <w:szCs w:val="32"/>
        </w:rPr>
        <w:t xml:space="preserve">一是构建"全肇办"全生命周期服务生态。园区在全省率先构建"指挥部+管委会+国企"一体化运营机制，压缩三级决策运营层级，全面承接40余项市级经济管理事权。推行"双容双承诺"直接落地和并联审批、容缺受理，累计123个项目实现"拿地即开工"。安排专属服务专员全程跟进，前置辅导报批资料，组织多部门联合现场办公，提前落实土地、水电、政策等全要素保障。针对不同规模企业推行"先租厂房、后购土地"等差异化供地模式。</w:t>
      </w:r>
    </w:p>
    <w:p>
      <w:pPr>
        <w:spacing w:line="560" w:lineRule="exact"/>
        <w:ind w:firstLine="480"/>
      </w:pPr>
      <w:r>
        <w:rPr>
          <w:rFonts w:ascii="仿宋_GB2312" w:cs="仿宋_GB2312" w:eastAsia="仿宋_GB2312" w:hAnsi="仿宋_GB2312"/>
          <w:sz w:val="32"/>
          <w:szCs w:val="32"/>
        </w:rPr>
        <w:t xml:space="preserve">二是创新土地要素保障和资金循环机制。推行"收储—出让—复投"土地出让金循环利用机制，累计出让土地超6000亩，出让收入突破20亿元，有效破解园区建设资金短缺难题，让"项目等地"变为"地等项目"。累计实施32个基础设施项目，总投资约108亿元，已完成基础设施投资34亿元，12条市政道路建成通车。</w:t>
      </w:r>
    </w:p>
    <w:p>
      <w:pPr>
        <w:spacing w:line="560" w:lineRule="exact"/>
        <w:ind w:firstLine="480"/>
      </w:pPr>
      <w:r>
        <w:rPr>
          <w:rFonts w:ascii="仿宋_GB2312" w:cs="仿宋_GB2312" w:eastAsia="仿宋_GB2312" w:hAnsi="仿宋_GB2312"/>
          <w:sz w:val="32"/>
          <w:szCs w:val="32"/>
        </w:rPr>
        <w:t xml:space="preserve">三是实施链式招商推动产业集群成势。紧扣智能网联新能源汽车、新一代电子信息、高端装备制造、先进材料等核心赛道，以链主企业为牵引推动上下游链式集聚。目前已集聚高新技术企业142家、国家级专精特新"小巨人"企业10家，推动产业从"单点落地"向"集群成势"转变。</w:t>
      </w:r>
    </w:p>
    <w:p>
      <w:pPr>
        <w:spacing w:line="560" w:lineRule="exact"/>
        <w:ind w:firstLine="480"/>
      </w:pPr>
      <w:r>
        <w:rPr>
          <w:rFonts w:ascii="仿宋_GB2312" w:cs="仿宋_GB2312" w:eastAsia="仿宋_GB2312" w:hAnsi="仿宋_GB2312"/>
          <w:sz w:val="32"/>
          <w:szCs w:val="32"/>
        </w:rPr>
        <w:t xml:space="preserve">四是坚持产业与配套融合发展。总投资43.5亿元的现代化产业社区公共服务中心加速成形，标准厂房、研发办公楼、人才公寓、员工食堂一应俱全。同步布局分布式光伏、储能电站等绿色能源设施，上线智慧园区管理平台，打造绿色高效、智慧便捷的现代化产业园区。</w:t>
      </w:r>
    </w:p>
    <w:p>
      <w:pPr>
        <w:spacing w:line="560" w:lineRule="exact"/>
        <w:ind w:firstLine="480"/>
      </w:pPr>
      <w:r>
        <w:rPr>
          <w:rFonts w:ascii="仿宋_GB2312" w:cs="仿宋_GB2312" w:eastAsia="仿宋_GB2312" w:hAnsi="仿宋_GB2312"/>
          <w:sz w:val="32"/>
          <w:szCs w:val="32"/>
        </w:rPr>
        <w:t xml:space="preserve">（信息来源：南方日报6月23日《优服务强要素聚链条 打造"万亩千亿"产业平台》  https://epaper.nfnews.com/nfdaily/html/202606/23/content_10173722.html）</w:t>
      </w:r>
    </w:p>
    <w:p>
      <w:pPr>
        <w:spacing w:line="560" w:lineRule="exact"/>
        <w:ind w:firstLine="480"/>
      </w:pPr>
      <w:r>
        <w:rPr>
          <w:rFonts w:ascii="仿宋_GB2312" w:cs="仿宋_GB2312" w:eastAsia="仿宋_GB2312" w:hAnsi="仿宋_GB2312"/>
          <w:sz w:val="32"/>
          <w:szCs w:val="32"/>
        </w:rPr>
        <w:t xml:space="preserve"/>
      </w:r>
    </w:p>
    <w:p>
      <w:pPr>
        <w:spacing w:before="200" w:line="560" w:lineRule="exact"/>
        <w:ind w:firstLine="480"/>
      </w:pPr>
      <w:r>
        <w:rPr>
          <w:rFonts w:ascii="仿宋_GB2312" w:cs="仿宋_GB2312" w:eastAsia="仿宋_GB2312" w:hAnsi="仿宋_GB2312"/>
          <w:b/>
          <w:bCs/>
          <w:sz w:val="32"/>
          <w:szCs w:val="32"/>
        </w:rPr>
        <w:t xml:space="preserve">3. 我市首笔融资租赁债权进场交易完成</w:t>
      </w:r>
    </w:p>
    <w:p>
      <w:pPr>
        <w:spacing w:line="560" w:lineRule="exact"/>
        <w:ind w:firstLine="480"/>
      </w:pPr>
      <w:r>
        <w:rPr>
          <w:rFonts w:ascii="仿宋_GB2312" w:cs="仿宋_GB2312" w:eastAsia="仿宋_GB2312" w:hAnsi="仿宋_GB2312"/>
          <w:sz w:val="32"/>
          <w:szCs w:val="32"/>
        </w:rPr>
        <w:t xml:space="preserve">天津交易集团完成全市首笔融资租赁债权进场交易，盘活资金5.2亿元，在运用市场化机制推动融资租赁债权规范化处置上迈出关键一步，初步探索出以产权市场为枢纽、以精细化服务为支撑的融资租赁债权盘活新路径。</w:t>
      </w:r>
    </w:p>
    <w:p>
      <w:pPr>
        <w:spacing w:line="560" w:lineRule="exact"/>
        <w:ind w:firstLine="480"/>
      </w:pPr>
      <w:r>
        <w:rPr>
          <w:rFonts w:ascii="仿宋_GB2312" w:cs="仿宋_GB2312" w:eastAsia="仿宋_GB2312" w:hAnsi="仿宋_GB2312"/>
          <w:sz w:val="32"/>
          <w:szCs w:val="32"/>
        </w:rPr>
        <w:t xml:space="preserve">一是破解行业三大突出堵点。针对融资租赁行业债权资产盘活中普遍存在的底层信息披露碎片化、交易流程标准化缺失、非标债权市场化定价缺乏参照等三大堵点，天津交易集团主动推进破解。在信息归集阶段，协助转让方确立"债权回款能力+租赁物担保价值"双线披露框架，有效弥合信息鸿沟，使潜在受让方能够独立判断债权回收预期与租赁物兜底价值。</w:t>
      </w:r>
    </w:p>
    <w:p>
      <w:pPr>
        <w:spacing w:line="560" w:lineRule="exact"/>
        <w:ind w:firstLine="480"/>
      </w:pPr>
      <w:r>
        <w:rPr>
          <w:rFonts w:ascii="仿宋_GB2312" w:cs="仿宋_GB2312" w:eastAsia="仿宋_GB2312" w:hAnsi="仿宋_GB2312"/>
          <w:sz w:val="32"/>
          <w:szCs w:val="32"/>
        </w:rPr>
        <w:t xml:space="preserve">二是建立全流程规范化服务保障。在方案设计环节，针对融资租赁债权非标特性，协助形成兼顾规范性与可操作性的挂牌方案。在交易组织环节，依托集团积累的投资人网络，筛选有融资租赁资产处置经验的专业机构定向推介，并与公开挂牌形成信息叠加效应，最终严格按场内规程完成意向受让方征集、资格审核及交易撮合。</w:t>
      </w:r>
    </w:p>
    <w:p>
      <w:pPr>
        <w:spacing w:line="560" w:lineRule="exact"/>
        <w:ind w:firstLine="480"/>
      </w:pPr>
      <w:r>
        <w:rPr>
          <w:rFonts w:ascii="仿宋_GB2312" w:cs="仿宋_GB2312" w:eastAsia="仿宋_GB2312" w:hAnsi="仿宋_GB2312"/>
          <w:sz w:val="32"/>
          <w:szCs w:val="32"/>
        </w:rPr>
        <w:t xml:space="preserve">三是着力构建"资产归集—规范流转—价值发现—资本对接"闭环。以本项目为起点，在深化融资租赁债权转让、租赁标的物处置、债权与标的物组合转让及经营性融资租赁资产流转等细分场景基础上，探索融资租赁资产与资产证券化工具的衔接路径，依托产权交易机构在资产筛选、信息披露、交易鉴证等环节的天然禀赋，推动从单一交易服务向"存量资产—规范流转—资本转化"的价值链条服务延伸。</w:t>
      </w:r>
    </w:p>
    <w:p>
      <w:pPr>
        <w:spacing w:line="560" w:lineRule="exact"/>
        <w:ind w:firstLine="480"/>
      </w:pPr>
      <w:r>
        <w:rPr>
          <w:rFonts w:ascii="仿宋_GB2312" w:cs="仿宋_GB2312" w:eastAsia="仿宋_GB2312" w:hAnsi="仿宋_GB2312"/>
          <w:sz w:val="32"/>
          <w:szCs w:val="32"/>
        </w:rPr>
        <w:t xml:space="preserve">（信息来源：天津日报6月23日《我市首笔融资租赁债权进场交易完成》  https://epaper.tianjinwe.com/tjrb/html/2026-06/23/content_143078_3564957.htm）</w:t>
      </w:r>
    </w:p>
    <w:p>
      <w:pPr>
        <w:spacing w:line="560" w:lineRule="exact"/>
        <w:ind w:firstLine="480"/>
      </w:pPr>
      <w:r>
        <w:rPr>
          <w:rFonts w:ascii="仿宋_GB2312" w:cs="仿宋_GB2312" w:eastAsia="仿宋_GB2312" w:hAnsi="仿宋_GB2312"/>
          <w:sz w:val="32"/>
          <w:szCs w:val="32"/>
        </w:rPr>
        <w:t xml:space="preserve"/>
      </w:r>
    </w:p>
    <w:p>
      <w:pPr>
        <w:spacing w:before="200" w:line="560" w:lineRule="exact"/>
        <w:ind w:firstLine="480"/>
      </w:pPr>
      <w:r>
        <w:rPr>
          <w:rFonts w:ascii="仿宋_GB2312" w:cs="仿宋_GB2312" w:eastAsia="仿宋_GB2312" w:hAnsi="仿宋_GB2312"/>
          <w:b/>
          <w:bCs/>
          <w:sz w:val="32"/>
          <w:szCs w:val="32"/>
        </w:rPr>
        <w:t xml:space="preserve">4. 老厂房焕新高品质租赁房</w:t>
      </w:r>
    </w:p>
    <w:p>
      <w:pPr>
        <w:spacing w:line="560" w:lineRule="exact"/>
        <w:ind w:firstLine="480"/>
      </w:pPr>
      <w:r>
        <w:rPr>
          <w:rFonts w:ascii="仿宋_GB2312" w:cs="仿宋_GB2312" w:eastAsia="仿宋_GB2312" w:hAnsi="仿宋_GB2312"/>
          <w:sz w:val="32"/>
          <w:szCs w:val="32"/>
        </w:rPr>
        <w:t xml:space="preserve">天津南开区将原北京牌电视机厂老厂房改建为保障性租赁住房，天开园核心区291套高品质租赁住房完工交付，通过工业遗存改造为创新创业人才提供安居保障，探索出低效厂房资源再利用与人才住房保障相结合的新模式。</w:t>
      </w:r>
    </w:p>
    <w:p>
      <w:pPr>
        <w:spacing w:line="560" w:lineRule="exact"/>
        <w:ind w:firstLine="480"/>
      </w:pPr>
      <w:r>
        <w:rPr>
          <w:rFonts w:ascii="仿宋_GB2312" w:cs="仿宋_GB2312" w:eastAsia="仿宋_GB2312" w:hAnsi="仿宋_GB2312"/>
          <w:sz w:val="32"/>
          <w:szCs w:val="32"/>
        </w:rPr>
        <w:t xml:space="preserve">一是以工业遗存改造实现空间资源再利用。松寓保障性租赁住房项目由原生产北京牌电视机的老厂房改建而成，建筑面积约1万平方米，总投资5478万元。内部改建后全部以精装标准交付，配置酒店式生活设施，设置共享交流空间，提供专业化公寓管理服务，打造高品质保障性租赁住房社区。</w:t>
      </w:r>
    </w:p>
    <w:p>
      <w:pPr>
        <w:spacing w:line="560" w:lineRule="exact"/>
        <w:ind w:firstLine="480"/>
      </w:pPr>
      <w:r>
        <w:rPr>
          <w:rFonts w:ascii="仿宋_GB2312" w:cs="仿宋_GB2312" w:eastAsia="仿宋_GB2312" w:hAnsi="仿宋_GB2312"/>
          <w:sz w:val="32"/>
          <w:szCs w:val="32"/>
        </w:rPr>
        <w:t xml:space="preserve">二是提供多样化户型与合理租金水平。项目一期提供LOFT（小户型、高举架）、一居室、一室一厅三种户型，房间内家用电器、沙发、衣柜等一应俱全，配有开放式厨房和独立卫浴，平均月租金在1800元至2200元不等。目前已与天开集团达成战略合作，10多家天开园企业员工明确了租住意向。</w:t>
      </w:r>
    </w:p>
    <w:p>
      <w:pPr>
        <w:spacing w:line="560" w:lineRule="exact"/>
        <w:ind w:firstLine="480"/>
      </w:pPr>
      <w:r>
        <w:rPr>
          <w:rFonts w:ascii="仿宋_GB2312" w:cs="仿宋_GB2312" w:eastAsia="仿宋_GB2312" w:hAnsi="仿宋_GB2312"/>
          <w:sz w:val="32"/>
          <w:szCs w:val="32"/>
        </w:rPr>
        <w:t xml:space="preserve">三是多渠道推进保障性租赁住房建设。天津市积极利用存量资源改建保租房，今年以来新筹集建设3个保障性租赁住房项目共964套（间）。截至目前，全市已累计筹集建设保障性租赁住房9.6万套（间）、竣工运营6.6万套（间），累计解决了15.2万新市民、青年人才租住需求。鼓励经营主体利用自有闲置厂房等不动产、闲置土地改建新建保租房。</w:t>
      </w:r>
    </w:p>
    <w:p>
      <w:pPr>
        <w:spacing w:line="560" w:lineRule="exact"/>
        <w:ind w:firstLine="480"/>
      </w:pPr>
      <w:r>
        <w:rPr>
          <w:rFonts w:ascii="仿宋_GB2312" w:cs="仿宋_GB2312" w:eastAsia="仿宋_GB2312" w:hAnsi="仿宋_GB2312"/>
          <w:sz w:val="32"/>
          <w:szCs w:val="32"/>
        </w:rPr>
        <w:t xml:space="preserve">（信息来源：天津日报6月23日《老厂房焕新高品质租赁房》  https://epaper.tianjinwe.com/tjrb/html/2026-06/23/content_143078_3564954.htm）</w:t>
      </w:r>
    </w:p>
    <w:p>
      <w:pPr>
        <w:spacing w:line="560" w:lineRule="exact"/>
        <w:ind w:firstLine="480"/>
      </w:pPr>
      <w:r>
        <w:rPr>
          <w:rFonts w:ascii="仿宋_GB2312" w:cs="仿宋_GB2312" w:eastAsia="仿宋_GB2312" w:hAnsi="仿宋_GB2312"/>
          <w:sz w:val="32"/>
          <w:szCs w:val="32"/>
        </w:rPr>
        <w:t xml:space="preserve"/>
      </w:r>
    </w:p>
    <w:p>
      <w:pPr>
        <w:spacing w:before="200" w:line="560" w:lineRule="exact"/>
        <w:ind w:firstLine="480"/>
      </w:pPr>
      <w:r>
        <w:rPr>
          <w:rFonts w:ascii="仿宋_GB2312" w:cs="仿宋_GB2312" w:eastAsia="仿宋_GB2312" w:hAnsi="仿宋_GB2312"/>
          <w:b/>
          <w:bCs/>
          <w:sz w:val="32"/>
          <w:szCs w:val="32"/>
        </w:rPr>
        <w:t xml:space="preserve">5. 多元业态融合激活端午文旅</w:t>
      </w:r>
    </w:p>
    <w:p>
      <w:pPr>
        <w:spacing w:line="560" w:lineRule="exact"/>
        <w:ind w:firstLine="480"/>
      </w:pPr>
      <w:r>
        <w:rPr>
          <w:rFonts w:ascii="仿宋_GB2312" w:cs="仿宋_GB2312" w:eastAsia="仿宋_GB2312" w:hAnsi="仿宋_GB2312"/>
          <w:sz w:val="32"/>
          <w:szCs w:val="32"/>
        </w:rPr>
        <w:t xml:space="preserve">天津2026年端午假期紧扣"粽情天地 嗨啤津夏"主题，统筹推出八大系列400余项全域文旅特色活动，以文商旅体展多业态融合激活假日消费潜能，全市接待游客人次、游客花费同比分别增长1.7%和3.4%，人均消费880.78元。</w:t>
      </w:r>
    </w:p>
    <w:p>
      <w:pPr>
        <w:spacing w:line="560" w:lineRule="exact"/>
        <w:ind w:firstLine="480"/>
      </w:pPr>
      <w:r>
        <w:rPr>
          <w:rFonts w:ascii="仿宋_GB2312" w:cs="仿宋_GB2312" w:eastAsia="仿宋_GB2312" w:hAnsi="仿宋_GB2312"/>
          <w:sz w:val="32"/>
          <w:szCs w:val="32"/>
        </w:rPr>
        <w:t xml:space="preserve">一是文商旅体展融合打通一体化消费链条。依托世界杯热度和海河龙舟赛、足球赛等文体活动，打通"观赛+游玩+购物+餐饮+住宿"一体化消费链条。2026年天津市海河足球超级联赛火热开赛，宁河区"村超"足球联赛吸引京冀足球爱好者参加，实现赛事联谊与乡村文旅引流双向赋能。河东区赤峰桥空间打造世界杯主题畅饮市集并发放代金券，河西区、南开区、西青区同步开展街头足球欢乐赛、啤酒嘉年华、美食节等消费业态。</w:t>
      </w:r>
    </w:p>
    <w:p>
      <w:pPr>
        <w:spacing w:line="560" w:lineRule="exact"/>
        <w:ind w:firstLine="480"/>
      </w:pPr>
      <w:r>
        <w:rPr>
          <w:rFonts w:ascii="仿宋_GB2312" w:cs="仿宋_GB2312" w:eastAsia="仿宋_GB2312" w:hAnsi="仿宋_GB2312"/>
          <w:sz w:val="32"/>
          <w:szCs w:val="32"/>
        </w:rPr>
        <w:t xml:space="preserve">二是创新推出"邮旅融合""游船+"等新型文旅产品。海河游船全线优化产品体系，推出"游船酒会"特色主题航班，打造"爵士之夜"特色演出。"津旅时光号"启动海洋主题活动。"跟着邮局游天津"邮旅融合项目、邮轮度假等新产品相继上线。精准抢抓毕业季经济，面向学生特别是毕业生群体推出专属票价优惠，接续推出青春不散场毕业季活动。</w:t>
      </w:r>
    </w:p>
    <w:p>
      <w:pPr>
        <w:spacing w:line="560" w:lineRule="exact"/>
        <w:ind w:firstLine="480"/>
      </w:pPr>
      <w:r>
        <w:rPr>
          <w:rFonts w:ascii="仿宋_GB2312" w:cs="仿宋_GB2312" w:eastAsia="仿宋_GB2312" w:hAnsi="仿宋_GB2312"/>
          <w:sz w:val="32"/>
          <w:szCs w:val="32"/>
        </w:rPr>
        <w:t xml:space="preserve">三是以高端演艺和文博展览提升城市文旅吸引力。天津大剧院上演音乐节系列表演，中华剧院、中国大戏院好戏不断。在天津滨海国际机场举办"端午相约航站楼"专场演出。天津博物馆推出"文明印记——中国古代工艺文物精华展归国汇报展"，周恩来邓颖超纪念馆推出"周恩来与党的纪律"展览等，持续开展"桥边音乐汇"系列品牌活动。</w:t>
      </w:r>
    </w:p>
    <w:p>
      <w:pPr>
        <w:spacing w:line="560" w:lineRule="exact"/>
        <w:ind w:firstLine="480"/>
      </w:pPr>
      <w:r>
        <w:rPr>
          <w:rFonts w:ascii="仿宋_GB2312" w:cs="仿宋_GB2312" w:eastAsia="仿宋_GB2312" w:hAnsi="仿宋_GB2312"/>
          <w:sz w:val="32"/>
          <w:szCs w:val="32"/>
        </w:rPr>
        <w:t xml:space="preserve">四是以非遗活态传承推动传统文化创新表达。结合"文化和自然遗产日"主题活动，各大景区围绕包粽子、系五彩绳、点雄黄、挂艾草、投壶等端午经典民俗，布局沉浸式国风体验、非遗互动工坊、端午民俗游园活动。蓟州区盘山景区推出大型古风实景演出，西井峪石头古村打造古风打卡、乡村文创、田园下午茶休闲业态。</w:t>
      </w:r>
    </w:p>
    <w:p>
      <w:pPr>
        <w:spacing w:line="560" w:lineRule="exact"/>
        <w:ind w:firstLine="480"/>
      </w:pPr>
      <w:r>
        <w:rPr>
          <w:rFonts w:ascii="仿宋_GB2312" w:cs="仿宋_GB2312" w:eastAsia="仿宋_GB2312" w:hAnsi="仿宋_GB2312"/>
          <w:sz w:val="32"/>
          <w:szCs w:val="32"/>
        </w:rPr>
        <w:t xml:space="preserve">（信息来源：天津日报6月23日《多元业态融合激活端午文旅》  https://epaper.tianjinwe.com/tjrb/html/2026-06/23/content_143078_3564958.htm）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_GB2312" w:cs="仿宋_GB2312" w:eastAsia="仿宋_GB2312" w:hAnsi="仿宋_GB2312"/>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2026-06-23T00:05:21.973Z</dcterms:created>
  <dcterms:modified xsi:type="dcterms:W3CDTF">2026-06-23T00:05:21.974Z</dcterms:modified>
</cp:coreProperties>
</file>

<file path=docProps/custom.xml><?xml version="1.0" encoding="utf-8"?>
<Properties xmlns="http://schemas.openxmlformats.org/officeDocument/2006/custom-properties" xmlns:vt="http://schemas.openxmlformats.org/officeDocument/2006/docPropsVTypes"/>
</file>