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560" w:lineRule="exact"/>
        <w:jc w:val="center"/>
      </w:pPr>
      <w:r>
        <w:rPr>
          <w:rFonts w:ascii="黑体" w:hAnsi="黑体" w:eastAsia="黑体"/>
          <w:b/>
          <w:sz w:val="44"/>
        </w:rPr>
        <w:t>媒体信息摘报</w:t>
      </w:r>
    </w:p>
    <w:p>
      <w:pPr>
        <w:spacing w:before="0" w:after="240" w:line="560" w:lineRule="exact"/>
        <w:jc w:val="center"/>
      </w:pPr>
      <w:r>
        <w:rPr>
          <w:rFonts w:ascii="仿宋_GB2312" w:hAnsi="仿宋_GB2312" w:eastAsia="仿宋_GB2312"/>
          <w:b w:val="0"/>
          <w:sz w:val="28"/>
        </w:rPr>
        <w:t>2026年9月25日 · 省级党报经济·科技·消费创新举措精选（福建省可借鉴）</w:t>
      </w:r>
    </w:p>
    <w:p>
      <w:pPr>
        <w:spacing w:before="200" w:after="80" w:line="560" w:lineRule="exact"/>
      </w:pPr>
      <w:r>
        <w:rPr>
          <w:rFonts w:ascii="黑体" w:hAnsi="黑体" w:eastAsia="黑体"/>
          <w:b/>
          <w:sz w:val="32"/>
        </w:rPr>
        <w:t>"水韵江苏"送上双节惠民大礼包</w:t>
      </w:r>
    </w:p>
    <w:p>
      <w:pPr>
        <w:spacing w:before="0" w:after="40" w:line="560" w:lineRule="exact"/>
      </w:pPr>
      <w:r>
        <w:rPr>
          <w:rFonts w:ascii="仿宋_GB2312" w:hAnsi="仿宋_GB2312" w:eastAsia="仿宋_GB2312"/>
          <w:b w:val="0"/>
          <w:sz w:val="32"/>
        </w:rPr>
        <w:t>江苏在2026年中秋国庆双节期间，统筹文旅消费补贴、票根经济、便民服务、智慧监管，具体举措如下：</w:t>
      </w:r>
    </w:p>
    <w:p>
      <w:pPr>
        <w:spacing w:before="0" w:after="40" w:line="560" w:lineRule="exact"/>
      </w:pPr>
      <w:r>
        <w:rPr>
          <w:rFonts w:ascii="仿宋_GB2312" w:hAnsi="仿宋_GB2312" w:eastAsia="仿宋_GB2312"/>
          <w:b/>
          <w:sz w:val="32"/>
        </w:rPr>
        <w:t>一是</w:t>
      </w:r>
      <w:r>
        <w:rPr>
          <w:rFonts w:ascii="仿宋_GB2312" w:hAnsi="仿宋_GB2312" w:eastAsia="仿宋_GB2312"/>
          <w:b w:val="0"/>
          <w:sz w:val="32"/>
        </w:rPr>
        <w:t>发放亿元级文旅消费券。省文旅厅联合江苏银行，联动携程、同程、途牛、美团、抖音、华为等平台，统筹发放价值上亿元文旅消费券，各平台“水韵江苏”专区可一键领取；其中携程投放3000万元酒店阶梯优惠券，同程补贴1000万元国庆畅游旅游金，途牛发放900万元直播间及银行专享券。</w:t>
      </w:r>
    </w:p>
    <w:p>
      <w:pPr>
        <w:spacing w:before="0" w:after="40" w:line="560" w:lineRule="exact"/>
      </w:pPr>
      <w:r>
        <w:rPr>
          <w:rFonts w:ascii="仿宋_GB2312" w:hAnsi="仿宋_GB2312" w:eastAsia="仿宋_GB2312"/>
          <w:b/>
          <w:sz w:val="32"/>
        </w:rPr>
        <w:t>二是</w:t>
      </w:r>
      <w:r>
        <w:rPr>
          <w:rFonts w:ascii="仿宋_GB2312" w:hAnsi="仿宋_GB2312" w:eastAsia="仿宋_GB2312"/>
          <w:b w:val="0"/>
          <w:sz w:val="32"/>
        </w:rPr>
        <w:t>推出各地本地化福利。苏州投放超2000万元中秋国庆文旅消费券；盐城发放1000万元“湿地红了”文旅酒店消费券；扬州联合滴滴出行投放30万份出行券包；南通面向高校新生推出专属文旅大礼包，登录“苏服办·南通”小程序可免费领取体验门票、演出优惠券；常州通过“乐享常州”平台发放百万文旅消费券。</w:t>
      </w:r>
    </w:p>
    <w:p>
      <w:pPr>
        <w:spacing w:before="0" w:after="40" w:line="560" w:lineRule="exact"/>
      </w:pPr>
      <w:r>
        <w:rPr>
          <w:rFonts w:ascii="仿宋_GB2312" w:hAnsi="仿宋_GB2312" w:eastAsia="仿宋_GB2312"/>
          <w:b/>
          <w:sz w:val="32"/>
        </w:rPr>
        <w:t>三是</w:t>
      </w:r>
      <w:r>
        <w:rPr>
          <w:rFonts w:ascii="仿宋_GB2312" w:hAnsi="仿宋_GB2312" w:eastAsia="仿宋_GB2312"/>
          <w:b w:val="0"/>
          <w:sz w:val="32"/>
        </w:rPr>
        <w:t>落地“票根+”惠民模式。南京“跟着演出（赛事）游南京乐享1+3”活动合作商户扩容至716家，凭演唱会、音乐节、赛事、展会门票享消费折扣；镇江“票根邀约·镇江有请”秋韵文旅消费季凭票根解锁300家商户近千款产品优惠，宁镇两地票根政策互认共享；淮安凭球赛、车船票、游船票根享门票减免、餐饮购物折扣；戏曲百戏（昆山）盛典凭演出票根畅游周庄并享商户优惠与500万元线上专项补贴。</w:t>
      </w:r>
    </w:p>
    <w:p>
      <w:pPr>
        <w:spacing w:before="0" w:after="40" w:line="560" w:lineRule="exact"/>
      </w:pPr>
      <w:r>
        <w:rPr>
          <w:rFonts w:ascii="仿宋_GB2312" w:hAnsi="仿宋_GB2312" w:eastAsia="仿宋_GB2312"/>
          <w:b/>
          <w:sz w:val="32"/>
        </w:rPr>
        <w:t>四是</w:t>
      </w:r>
      <w:r>
        <w:rPr>
          <w:rFonts w:ascii="仿宋_GB2312" w:hAnsi="仿宋_GB2312" w:eastAsia="仿宋_GB2312"/>
          <w:b w:val="0"/>
          <w:sz w:val="32"/>
        </w:rPr>
        <w:t>提供便民出行服务。南京全天候开放3.5万个免费停车泊位；苏州开放300余家机关企事业单位内部停车场；扬州外地游客凭身份证免费乘坐城区公交，50家机关事业单位停车场对外开放；常州开通4条免费旅游直通车，淮安开设3条旅游快线；多地文化场馆延时开放并配套免费停车、公益讲解。</w:t>
      </w:r>
    </w:p>
    <w:p>
      <w:pPr>
        <w:spacing w:before="0" w:after="40" w:line="560" w:lineRule="exact"/>
      </w:pPr>
      <w:r>
        <w:rPr>
          <w:rFonts w:ascii="仿宋_GB2312" w:hAnsi="仿宋_GB2312" w:eastAsia="仿宋_GB2312"/>
          <w:b/>
          <w:sz w:val="32"/>
        </w:rPr>
        <w:t>五是</w:t>
      </w:r>
      <w:r>
        <w:rPr>
          <w:rFonts w:ascii="仿宋_GB2312" w:hAnsi="仿宋_GB2312" w:eastAsia="仿宋_GB2312"/>
          <w:b w:val="0"/>
          <w:sz w:val="32"/>
        </w:rPr>
        <w:t>数智赋能市场监管。迭代“苏心游”公共服务平台，实时推送景区客流、停车指引、行李寄存信息，新增“避堵攻略”专栏，开通“啄木鸟”旅游投诉专属渠道快速化解纠纷。</w:t>
      </w:r>
    </w:p>
    <w:p>
      <w:pPr>
        <w:spacing w:before="40" w:after="200" w:line="560" w:lineRule="exact"/>
      </w:pPr>
      <w:r>
        <w:rPr>
          <w:rFonts w:ascii="仿宋_GB2312" w:hAnsi="仿宋_GB2312" w:eastAsia="仿宋_GB2312"/>
          <w:b w:val="0"/>
          <w:sz w:val="24"/>
        </w:rPr>
        <w:t>（信息来源：新华日报9月25日《"水韵江苏"送上双节惠民大礼包》  https://xh.xhby.net/pc/con/202609/25/content_1593356.html）</w:t>
      </w:r>
    </w:p>
    <w:p>
      <w:pPr>
        <w:spacing w:before="200" w:after="80" w:line="560" w:lineRule="exact"/>
      </w:pPr>
      <w:r>
        <w:rPr>
          <w:rFonts w:ascii="黑体" w:hAnsi="黑体" w:eastAsia="黑体"/>
          <w:b/>
          <w:sz w:val="32"/>
        </w:rPr>
        <w:t>"真实场景，才是最好的加速"</w:t>
      </w:r>
    </w:p>
    <w:p>
      <w:pPr>
        <w:spacing w:before="0" w:after="40" w:line="560" w:lineRule="exact"/>
      </w:pPr>
      <w:r>
        <w:rPr>
          <w:rFonts w:ascii="仿宋_GB2312" w:hAnsi="仿宋_GB2312" w:eastAsia="仿宋_GB2312"/>
          <w:b w:val="0"/>
          <w:sz w:val="32"/>
        </w:rPr>
        <w:t>2026江苏“创青春”AI+交通创新创业大赛“揭榜挂帅”应用赛道成长加速营在南京开营，江苏交控开放真实业务场景赋能青年创业，具体举措如下：</w:t>
      </w:r>
    </w:p>
    <w:p>
      <w:pPr>
        <w:spacing w:before="0" w:after="40" w:line="560" w:lineRule="exact"/>
      </w:pPr>
      <w:r>
        <w:rPr>
          <w:rFonts w:ascii="仿宋_GB2312" w:hAnsi="仿宋_GB2312" w:eastAsia="仿宋_GB2312"/>
          <w:b/>
          <w:sz w:val="32"/>
        </w:rPr>
        <w:t>一是</w:t>
      </w:r>
      <w:r>
        <w:rPr>
          <w:rFonts w:ascii="仿宋_GB2312" w:hAnsi="仿宋_GB2312" w:eastAsia="仿宋_GB2312"/>
          <w:b w:val="0"/>
          <w:sz w:val="32"/>
        </w:rPr>
        <w:t>开放真实交通场景与数据。江苏交控开放高速路网、桥隧运维、低空应用等真实业务场景及运行积累的真实病害数据，让参赛团队在真实业务里验证技术，打通“赛事选拔—资源对接—产业孵化—落地应用”全链条。</w:t>
      </w:r>
    </w:p>
    <w:p>
      <w:pPr>
        <w:spacing w:before="0" w:after="40" w:line="560" w:lineRule="exact"/>
      </w:pPr>
      <w:r>
        <w:rPr>
          <w:rFonts w:ascii="仿宋_GB2312" w:hAnsi="仿宋_GB2312" w:eastAsia="仿宋_GB2312"/>
          <w:b/>
          <w:sz w:val="32"/>
        </w:rPr>
        <w:t>二是</w:t>
      </w:r>
      <w:r>
        <w:rPr>
          <w:rFonts w:ascii="仿宋_GB2312" w:hAnsi="仿宋_GB2312" w:eastAsia="仿宋_GB2312"/>
          <w:b w:val="0"/>
          <w:sz w:val="32"/>
        </w:rPr>
        <w:t>引入“导师带徒”机制。邀请企业高管、高校教授、资深投资人、OPC社区负责人等担任导师，帮助参赛团队进一步校准技术方案和商业路径。</w:t>
      </w:r>
    </w:p>
    <w:p>
      <w:pPr>
        <w:spacing w:before="0" w:after="40" w:line="560" w:lineRule="exact"/>
      </w:pPr>
      <w:r>
        <w:rPr>
          <w:rFonts w:ascii="仿宋_GB2312" w:hAnsi="仿宋_GB2312" w:eastAsia="仿宋_GB2312"/>
          <w:b/>
          <w:sz w:val="32"/>
        </w:rPr>
        <w:t>三是</w:t>
      </w:r>
      <w:r>
        <w:rPr>
          <w:rFonts w:ascii="仿宋_GB2312" w:hAnsi="仿宋_GB2312" w:eastAsia="仿宋_GB2312"/>
          <w:b w:val="0"/>
          <w:sz w:val="32"/>
        </w:rPr>
        <w:t>嵌入“单人+AI”（OPC）创业新范式。打造“沙龙启思—压力测试—需求对接”闭环链路；赛事发布OPC“微需求”，配备“OPC助跑教练”开展商业化辅导，推动OPC项目快速成长。</w:t>
      </w:r>
    </w:p>
    <w:p>
      <w:pPr>
        <w:spacing w:before="0" w:after="40" w:line="560" w:lineRule="exact"/>
      </w:pPr>
      <w:r>
        <w:rPr>
          <w:rFonts w:ascii="仿宋_GB2312" w:hAnsi="仿宋_GB2312" w:eastAsia="仿宋_GB2312"/>
          <w:b/>
          <w:sz w:val="32"/>
        </w:rPr>
        <w:t>四是</w:t>
      </w:r>
      <w:r>
        <w:rPr>
          <w:rFonts w:ascii="仿宋_GB2312" w:hAnsi="仿宋_GB2312" w:eastAsia="仿宋_GB2312"/>
          <w:b w:val="0"/>
          <w:sz w:val="32"/>
        </w:rPr>
        <w:t>设置低空经济等产业赛题。围绕“低空飞行目标的发现与智能识别”等赛题聚焦行业痛点，吸引众多参赛团队深入研究，以赛引才、以赛促研。</w:t>
      </w:r>
    </w:p>
    <w:p>
      <w:pPr>
        <w:spacing w:before="0" w:after="40" w:line="560" w:lineRule="exact"/>
      </w:pPr>
      <w:r>
        <w:rPr>
          <w:rFonts w:ascii="仿宋_GB2312" w:hAnsi="仿宋_GB2312" w:eastAsia="仿宋_GB2312"/>
          <w:b/>
          <w:sz w:val="32"/>
        </w:rPr>
        <w:t>五是</w:t>
      </w:r>
      <w:r>
        <w:rPr>
          <w:rFonts w:ascii="仿宋_GB2312" w:hAnsi="仿宋_GB2312" w:eastAsia="仿宋_GB2312"/>
          <w:b w:val="0"/>
          <w:sz w:val="32"/>
        </w:rPr>
        <w:t>配套专属政策包与金融支持。建邺区现场发布“AI+交通”大赛专属政策包，获最佳场景应用奖项目实体化落地建邺可免评直入区级人才、最高获50万元项目资金扶持，决赛团队入驻河西中央科创区AI+交通产业科技创新社区可按政策匹配算力、数据、场景等资源；中国农业银行江苏省分行构建集账户结算、科创信贷、投贷联动、财务顾问于一体的综合金融服务矩阵。</w:t>
      </w:r>
    </w:p>
    <w:p>
      <w:pPr>
        <w:spacing w:before="40" w:after="200" w:line="560" w:lineRule="exact"/>
      </w:pPr>
      <w:r>
        <w:rPr>
          <w:rFonts w:ascii="仿宋_GB2312" w:hAnsi="仿宋_GB2312" w:eastAsia="仿宋_GB2312"/>
          <w:b w:val="0"/>
          <w:sz w:val="24"/>
        </w:rPr>
        <w:t>（信息来源：新华日报9月25日《"真实场景，才是最好的加速"》  https://xh.xhby.net/pc/con/202609/25/content_1593350.html）</w:t>
      </w:r>
    </w:p>
    <w:p>
      <w:pPr>
        <w:spacing w:before="200" w:after="80" w:line="560" w:lineRule="exact"/>
      </w:pPr>
      <w:r>
        <w:rPr>
          <w:rFonts w:ascii="黑体" w:hAnsi="黑体" w:eastAsia="黑体"/>
          <w:b/>
          <w:sz w:val="32"/>
        </w:rPr>
        <w:t>大湾区帮全球创客开起"一人工厂"</w:t>
      </w:r>
    </w:p>
    <w:p>
      <w:pPr>
        <w:spacing w:before="0" w:after="40" w:line="560" w:lineRule="exact"/>
      </w:pPr>
      <w:r>
        <w:rPr>
          <w:rFonts w:ascii="仿宋_GB2312" w:hAnsi="仿宋_GB2312" w:eastAsia="仿宋_GB2312"/>
          <w:b w:val="0"/>
          <w:sz w:val="32"/>
        </w:rPr>
        <w:t>粤港澳大湾区依托完整硬件产业生态，帮助全球创客以“一人、一机器、一公司”模式创业，具体举措如下：</w:t>
      </w:r>
    </w:p>
    <w:p>
      <w:pPr>
        <w:spacing w:before="0" w:after="40" w:line="560" w:lineRule="exact"/>
      </w:pPr>
      <w:r>
        <w:rPr>
          <w:rFonts w:ascii="仿宋_GB2312" w:hAnsi="仿宋_GB2312" w:eastAsia="仿宋_GB2312"/>
          <w:b/>
          <w:sz w:val="32"/>
        </w:rPr>
        <w:t>一是</w:t>
      </w:r>
      <w:r>
        <w:rPr>
          <w:rFonts w:ascii="仿宋_GB2312" w:hAnsi="仿宋_GB2312" w:eastAsia="仿宋_GB2312"/>
          <w:b w:val="0"/>
          <w:sz w:val="32"/>
        </w:rPr>
        <w:t>输出桌面创意工具降低创业门槛。深圳企业xTool推出桌面激光雕刻切割设备并提供海量创作教程与商业案例，让无工程与艺术背景的普通用户也能实现“一人、一机器、一公司”创业；柴火创客空间、深圳矽递科技等平台让全球创客快速搭建原型、打样和小批量生产。</w:t>
      </w:r>
    </w:p>
    <w:p>
      <w:pPr>
        <w:spacing w:before="0" w:after="40" w:line="560" w:lineRule="exact"/>
      </w:pPr>
      <w:r>
        <w:rPr>
          <w:rFonts w:ascii="仿宋_GB2312" w:hAnsi="仿宋_GB2312" w:eastAsia="仿宋_GB2312"/>
          <w:b/>
          <w:sz w:val="32"/>
        </w:rPr>
        <w:t>二是</w:t>
      </w:r>
      <w:r>
        <w:rPr>
          <w:rFonts w:ascii="仿宋_GB2312" w:hAnsi="仿宋_GB2312" w:eastAsia="仿宋_GB2312"/>
          <w:b w:val="0"/>
          <w:sz w:val="32"/>
        </w:rPr>
        <w:t>构建“脑洞—原型—孵化打磨—量产—出海”完整产业链。柴火创客空间作为入口和原型端，矽递科技负责技术底座与敏捷制造，xTool、拓竹、创想三维等数字化设备平台作为工具端，覆盖从创意到量产全环节。</w:t>
      </w:r>
    </w:p>
    <w:p>
      <w:pPr>
        <w:spacing w:before="0" w:after="40" w:line="560" w:lineRule="exact"/>
      </w:pPr>
      <w:r>
        <w:rPr>
          <w:rFonts w:ascii="仿宋_GB2312" w:hAnsi="仿宋_GB2312" w:eastAsia="仿宋_GB2312"/>
          <w:b/>
          <w:sz w:val="32"/>
        </w:rPr>
        <w:t>三是</w:t>
      </w:r>
      <w:r>
        <w:rPr>
          <w:rFonts w:ascii="仿宋_GB2312" w:hAnsi="仿宋_GB2312" w:eastAsia="仿宋_GB2312"/>
          <w:b w:val="0"/>
          <w:sz w:val="32"/>
        </w:rPr>
        <w:t>发挥大湾区供应链协同半径短的优势。芯片、模具、结构件、表面处理、组装等环节可在几小时车程半径内找齐，元器件采购最快2小时响应，“上午设计、下午打样、次日量产、一周出海”成为常态，硬件试错成本极低。</w:t>
      </w:r>
    </w:p>
    <w:p>
      <w:pPr>
        <w:spacing w:before="0" w:after="40" w:line="560" w:lineRule="exact"/>
      </w:pPr>
      <w:r>
        <w:rPr>
          <w:rFonts w:ascii="仿宋_GB2312" w:hAnsi="仿宋_GB2312" w:eastAsia="仿宋_GB2312"/>
          <w:b/>
          <w:sz w:val="32"/>
        </w:rPr>
        <w:t>四是</w:t>
      </w:r>
      <w:r>
        <w:rPr>
          <w:rFonts w:ascii="仿宋_GB2312" w:hAnsi="仿宋_GB2312" w:eastAsia="仿宋_GB2312"/>
          <w:b w:val="0"/>
          <w:sz w:val="32"/>
        </w:rPr>
        <w:t>出台省级OPC专项政策。今年3月广东出台全国首个省级人工智能OPC专项政策，倡导“一人、一台电脑、一套AI工具”创业，将大湾区实体制造供应链延伸至硬件造物领域，让全球创客开起“一人工厂”。</w:t>
      </w:r>
    </w:p>
    <w:p>
      <w:pPr>
        <w:spacing w:before="0" w:after="40" w:line="560" w:lineRule="exact"/>
      </w:pPr>
      <w:r>
        <w:rPr>
          <w:rFonts w:ascii="仿宋_GB2312" w:hAnsi="仿宋_GB2312" w:eastAsia="仿宋_GB2312"/>
          <w:b/>
          <w:sz w:val="32"/>
        </w:rPr>
        <w:t>五是</w:t>
      </w:r>
      <w:r>
        <w:rPr>
          <w:rFonts w:ascii="仿宋_GB2312" w:hAnsi="仿宋_GB2312" w:eastAsia="仿宋_GB2312"/>
          <w:b w:val="0"/>
          <w:sz w:val="32"/>
        </w:rPr>
        <w:t>搭建全球创客对接网络。柴火创客空间接纳100多个国家创客找方法、供应链、同行；矽递科技等以敏捷制造精准承接全球创意与场景需求，推动“脑洞—原型—量产—出海”落地。</w:t>
      </w:r>
    </w:p>
    <w:p>
      <w:pPr>
        <w:spacing w:before="40" w:after="200" w:line="560" w:lineRule="exact"/>
      </w:pPr>
      <w:r>
        <w:rPr>
          <w:rFonts w:ascii="仿宋_GB2312" w:hAnsi="仿宋_GB2312" w:eastAsia="仿宋_GB2312"/>
          <w:b w:val="0"/>
          <w:sz w:val="24"/>
        </w:rPr>
        <w:t>（信息来源：南方日报9月25日《大湾区帮全球创客开起"一人工厂"》  https://epaper.nfnews.com/nfdaily/html/202609/25/content_10182320.html）</w:t>
      </w:r>
    </w:p>
    <w:p>
      <w:pPr>
        <w:spacing w:before="200" w:after="80" w:line="560" w:lineRule="exact"/>
      </w:pPr>
      <w:r>
        <w:rPr>
          <w:rFonts w:ascii="黑体" w:hAnsi="黑体" w:eastAsia="黑体"/>
          <w:b/>
          <w:sz w:val="32"/>
        </w:rPr>
        <w:t>电影串百业 消费促融合</w:t>
      </w:r>
    </w:p>
    <w:p>
      <w:pPr>
        <w:spacing w:before="0" w:after="40" w:line="560" w:lineRule="exact"/>
      </w:pPr>
      <w:r>
        <w:rPr>
          <w:rFonts w:ascii="仿宋_GB2312" w:hAnsi="仿宋_GB2312" w:eastAsia="仿宋_GB2312"/>
          <w:b w:val="0"/>
          <w:sz w:val="32"/>
        </w:rPr>
        <w:t>广东紧抓中秋国庆黄金消费窗口，以电影为纽带串联多元业态推出“电影+”促消费系列活动，具体举措如下：</w:t>
      </w:r>
    </w:p>
    <w:p>
      <w:pPr>
        <w:spacing w:before="0" w:after="40" w:line="560" w:lineRule="exact"/>
      </w:pPr>
      <w:r>
        <w:rPr>
          <w:rFonts w:ascii="仿宋_GB2312" w:hAnsi="仿宋_GB2312" w:eastAsia="仿宋_GB2312"/>
          <w:b/>
          <w:sz w:val="32"/>
        </w:rPr>
        <w:t>一是</w:t>
      </w:r>
      <w:r>
        <w:rPr>
          <w:rFonts w:ascii="仿宋_GB2312" w:hAnsi="仿宋_GB2312" w:eastAsia="仿宋_GB2312"/>
          <w:b w:val="0"/>
          <w:sz w:val="32"/>
        </w:rPr>
        <w:t>打造“政府补贴+金融护航+商户让利”协同模式。深圳作为全国首批“电影+”消费综合试点城市，以“电影串百业、消费促融合”为主线，推动银幕流量转化为城市线下客流与商业增长动能。</w:t>
      </w:r>
    </w:p>
    <w:p>
      <w:pPr>
        <w:spacing w:before="0" w:after="40" w:line="560" w:lineRule="exact"/>
      </w:pPr>
      <w:r>
        <w:rPr>
          <w:rFonts w:ascii="仿宋_GB2312" w:hAnsi="仿宋_GB2312" w:eastAsia="仿宋_GB2312"/>
          <w:b/>
          <w:sz w:val="32"/>
        </w:rPr>
        <w:t>二是</w:t>
      </w:r>
      <w:r>
        <w:rPr>
          <w:rFonts w:ascii="仿宋_GB2312" w:hAnsi="仿宋_GB2312" w:eastAsia="仿宋_GB2312"/>
          <w:b w:val="0"/>
          <w:sz w:val="32"/>
        </w:rPr>
        <w:t>“电影+美食”票根变消费通行证。深圳万象城万象街集结广深12家米其林及入选餐厅，9月25日至27日凭电影票根可抽美食节名额及商圈满减、停车优惠；广州珠影影城、汕头合胜好吃街、韶关犁市码头均凭票根享餐饮折扣或特色美食。</w:t>
      </w:r>
    </w:p>
    <w:p>
      <w:pPr>
        <w:spacing w:before="0" w:after="40" w:line="560" w:lineRule="exact"/>
      </w:pPr>
      <w:r>
        <w:rPr>
          <w:rFonts w:ascii="仿宋_GB2312" w:hAnsi="仿宋_GB2312" w:eastAsia="仿宋_GB2312"/>
          <w:b/>
          <w:sz w:val="32"/>
        </w:rPr>
        <w:t>三是</w:t>
      </w:r>
      <w:r>
        <w:rPr>
          <w:rFonts w:ascii="仿宋_GB2312" w:hAnsi="仿宋_GB2312" w:eastAsia="仿宋_GB2312"/>
          <w:b w:val="0"/>
          <w:sz w:val="32"/>
        </w:rPr>
        <w:t>“电影+旅游”城影协同。东莞联动10家万达影院派发3万张观影优惠券；江门借电影《空枪》上映推出主题影视游路线、打卡装置及全域消费优惠；中山围绕电影《给阿嬷的情书》在影视城打造7个侨批主题打卡点并推出国风美食集市、非遗演出；清远、深圳凭电影票根享滨海旅游客房立减、餐饮折扣。“为一块银幕赴一座城”正成为文旅消费新范式。</w:t>
      </w:r>
    </w:p>
    <w:p>
      <w:pPr>
        <w:spacing w:before="0" w:after="40" w:line="560" w:lineRule="exact"/>
      </w:pPr>
      <w:r>
        <w:rPr>
          <w:rFonts w:ascii="仿宋_GB2312" w:hAnsi="仿宋_GB2312" w:eastAsia="仿宋_GB2312"/>
          <w:b/>
          <w:sz w:val="32"/>
        </w:rPr>
        <w:t>四是</w:t>
      </w:r>
      <w:r>
        <w:rPr>
          <w:rFonts w:ascii="仿宋_GB2312" w:hAnsi="仿宋_GB2312" w:eastAsia="仿宋_GB2312"/>
          <w:b w:val="0"/>
          <w:sz w:val="32"/>
        </w:rPr>
        <w:t>“电影+科普”光影课堂。湛江10月7日举办中华白海豚生态科普观影活动；深圳龙华展映纪录电影《朱鹮》，宝安“湾区之眼”推出中国体育电影百年主题巡展及侨批实物特展，延伸银幕故事。</w:t>
      </w:r>
    </w:p>
    <w:p>
      <w:pPr>
        <w:spacing w:before="40" w:after="200" w:line="560" w:lineRule="exact"/>
      </w:pPr>
      <w:r>
        <w:rPr>
          <w:rFonts w:ascii="仿宋_GB2312" w:hAnsi="仿宋_GB2312" w:eastAsia="仿宋_GB2312"/>
          <w:b w:val="0"/>
          <w:sz w:val="24"/>
        </w:rPr>
        <w:t>（信息来源：南方日报9月25日《电影串百业 消费促融合》  https://epaper.nfnews.com/nfdaily/html/202609/25/content_10182324.html）</w:t>
      </w:r>
    </w:p>
    <w:p>
      <w:pPr>
        <w:spacing w:before="200" w:after="80" w:line="560" w:lineRule="exact"/>
      </w:pPr>
      <w:r>
        <w:rPr>
          <w:rFonts w:ascii="黑体" w:hAnsi="黑体" w:eastAsia="黑体"/>
          <w:b/>
          <w:sz w:val="32"/>
        </w:rPr>
        <w:t>盐城成立首个科技商学院</w:t>
      </w:r>
    </w:p>
    <w:p>
      <w:pPr>
        <w:spacing w:before="0" w:after="40" w:line="560" w:lineRule="exact"/>
      </w:pPr>
      <w:r>
        <w:rPr>
          <w:rFonts w:ascii="仿宋_GB2312" w:hAnsi="仿宋_GB2312" w:eastAsia="仿宋_GB2312"/>
          <w:b w:val="0"/>
          <w:sz w:val="32"/>
        </w:rPr>
        <w:t>9月24日，盐城师范学院科技商学院在第七届盐城市创新创业大赛开幕式上揭牌，系苏中和苏北地区首个科技商学院，具体举措如下：</w:t>
      </w:r>
    </w:p>
    <w:p>
      <w:pPr>
        <w:spacing w:before="0" w:after="40" w:line="560" w:lineRule="exact"/>
      </w:pPr>
      <w:r>
        <w:rPr>
          <w:rFonts w:ascii="仿宋_GB2312" w:hAnsi="仿宋_GB2312" w:eastAsia="仿宋_GB2312"/>
          <w:b/>
          <w:sz w:val="32"/>
        </w:rPr>
        <w:t>一是</w:t>
      </w:r>
      <w:r>
        <w:rPr>
          <w:rFonts w:ascii="仿宋_GB2312" w:hAnsi="仿宋_GB2312" w:eastAsia="仿宋_GB2312"/>
          <w:b w:val="0"/>
          <w:sz w:val="32"/>
        </w:rPr>
        <w:t>明确培养定位与方向。盐城师范学院校长张宏如介绍，当前职业技术经理人才存在缺口，学院旨在培养既懂科技又懂商业运作、具备管理能力的复合型交叉融合人才。</w:t>
      </w:r>
    </w:p>
    <w:p>
      <w:pPr>
        <w:spacing w:before="0" w:after="40" w:line="560" w:lineRule="exact"/>
      </w:pPr>
      <w:r>
        <w:rPr>
          <w:rFonts w:ascii="仿宋_GB2312" w:hAnsi="仿宋_GB2312" w:eastAsia="仿宋_GB2312"/>
          <w:b/>
          <w:sz w:val="32"/>
        </w:rPr>
        <w:t>二是</w:t>
      </w:r>
      <w:r>
        <w:rPr>
          <w:rFonts w:ascii="仿宋_GB2312" w:hAnsi="仿宋_GB2312" w:eastAsia="仿宋_GB2312"/>
          <w:b w:val="0"/>
          <w:sz w:val="32"/>
        </w:rPr>
        <w:t>锚定“双碳”真实场景育人。依托盐城国家首批碳达峰试点城市和省委省政府支持建设的绿色低碳发展示范区优势，将绿电、零碳园区、碳管理体系的真实场景作为育人现场，重点培养一批“双碳”领域技术经理人。</w:t>
      </w:r>
    </w:p>
    <w:p>
      <w:pPr>
        <w:spacing w:before="0" w:after="40" w:line="560" w:lineRule="exact"/>
      </w:pPr>
      <w:r>
        <w:rPr>
          <w:rFonts w:ascii="仿宋_GB2312" w:hAnsi="仿宋_GB2312" w:eastAsia="仿宋_GB2312"/>
          <w:b/>
          <w:sz w:val="32"/>
        </w:rPr>
        <w:t>三是</w:t>
      </w:r>
      <w:r>
        <w:rPr>
          <w:rFonts w:ascii="仿宋_GB2312" w:hAnsi="仿宋_GB2312" w:eastAsia="仿宋_GB2312"/>
          <w:b w:val="0"/>
          <w:sz w:val="32"/>
        </w:rPr>
        <w:t>真实科技项目嵌入课堂。推动“案例教学”向“问题解决教学”转型，把真实科技项目引入课堂开展教学。</w:t>
      </w:r>
    </w:p>
    <w:p>
      <w:pPr>
        <w:spacing w:before="0" w:after="40" w:line="560" w:lineRule="exact"/>
      </w:pPr>
      <w:r>
        <w:rPr>
          <w:rFonts w:ascii="仿宋_GB2312" w:hAnsi="仿宋_GB2312" w:eastAsia="仿宋_GB2312"/>
          <w:b/>
          <w:sz w:val="32"/>
        </w:rPr>
        <w:t>四是</w:t>
      </w:r>
      <w:r>
        <w:rPr>
          <w:rFonts w:ascii="仿宋_GB2312" w:hAnsi="仿宋_GB2312" w:eastAsia="仿宋_GB2312"/>
          <w:b w:val="0"/>
          <w:sz w:val="32"/>
        </w:rPr>
        <w:t>双聘融合师资与实训基地支撑。联合节能环保领域概念验证中心、江苏沿海可再生能源技术创新中心、零碳园区等实训基地，组建双聘融合师资队伍。</w:t>
      </w:r>
    </w:p>
    <w:p>
      <w:pPr>
        <w:spacing w:before="0" w:after="40" w:line="560" w:lineRule="exact"/>
      </w:pPr>
      <w:r>
        <w:rPr>
          <w:rFonts w:ascii="仿宋_GB2312" w:hAnsi="仿宋_GB2312" w:eastAsia="仿宋_GB2312"/>
          <w:b/>
          <w:sz w:val="32"/>
        </w:rPr>
        <w:t>五是</w:t>
      </w:r>
      <w:r>
        <w:rPr>
          <w:rFonts w:ascii="仿宋_GB2312" w:hAnsi="仿宋_GB2312" w:eastAsia="仿宋_GB2312"/>
          <w:b w:val="0"/>
          <w:sz w:val="32"/>
        </w:rPr>
        <w:t>理论走访对接一体化培育。以理论授课、企业走访、资源对接一体化方式，培育能链接技术供给与产业需求的职业技术经理人才，服务绿色低碳产业与创新创业发展。</w:t>
      </w:r>
    </w:p>
    <w:p>
      <w:pPr>
        <w:spacing w:before="40" w:after="200" w:line="560" w:lineRule="exact"/>
      </w:pPr>
      <w:r>
        <w:rPr>
          <w:rFonts w:ascii="仿宋_GB2312" w:hAnsi="仿宋_GB2312" w:eastAsia="仿宋_GB2312"/>
          <w:b w:val="0"/>
          <w:sz w:val="24"/>
        </w:rPr>
        <w:t>（信息来源：新华日报9月25日《盐城成立首个科技商学院》  https://xh.xhby.net/pc/con/202609/25/content_1593360.html）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