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媒体信息摘报</w:t>
      </w:r>
    </w:p>
    <w:p>
      <w:pPr>
        <w:jc w:val="center"/>
      </w:pPr>
      <w:r>
        <w:rPr>
          <w:rFonts w:ascii="仿宋_GB2312" w:hAnsi="仿宋_GB2312" w:eastAsia="仿宋_GB2312"/>
          <w:b w:val="0"/>
          <w:sz w:val="24"/>
        </w:rPr>
        <w:t>（2026年9月7日·省级党报经济·科技·消费创新举措精选）</w:t>
      </w:r>
    </w:p>
    <w:p>
      <w:pPr>
        <w:spacing w:before="240" w:after="80"/>
      </w:pPr>
      <w:r>
        <w:rPr>
          <w:rFonts w:ascii="黑体" w:hAnsi="黑体" w:eastAsia="黑体"/>
          <w:b/>
          <w:sz w:val="32"/>
        </w:rPr>
        <w:t>一、河北省将建一批“人工智能+制造”创新平台</w:t>
      </w:r>
    </w:p>
    <w:p>
      <w:pPr>
        <w:spacing w:lineRule="exact" w:line="560" w:after="40"/>
        <w:ind w:firstLine="640"/>
      </w:pPr>
      <w:r>
        <w:rPr>
          <w:rFonts w:ascii="仿宋_GB2312" w:hAnsi="仿宋_GB2312" w:eastAsia="仿宋_GB2312"/>
          <w:b w:val="0"/>
          <w:sz w:val="32"/>
        </w:rPr>
        <w:t>人工智能产业活力迸发，正为经济增长注入强劲智能动力。河北省将开展人工智能产业创新任务揭榜挂帅，组织相关单位联合攻关，重点突破工业大模型、高精度视觉感知、智能自主决策、具身智能等一批关键技术，培育智能终端产品，加强企业梯度培育，加快人工智能产业发展。一是建设“人工智能+制造”创新平台。省工信厅将建强用好成果转化与产业化平台，推动人工智能技术赋能共性技术攻关、科学设备研发、中试平台搭建；开展人工智能解决方案研究，遴选一批工业领域人工智能解决方案，在重点行业规模化推广。二是培育智能终端产品。鼓励模型开发机构与终端企业加强合作，发展智能网联汽车、智能手机电脑、智能家居等新一代消费级智能终端；发展技能作业型工业机器人、养老助残机器人等行业级智能终端；鼓励高新技术企业加强新型传感器、智能末端执行器、类脑计算芯片等关键部件研究，发展人形机器人、类脑智能终端等未来智能终端；每年遴选100个省级人工智能创新终端产品（装备），推动在行业广泛应用。三是建立人工智能企业培育库。着力培育一批专精特新“小巨人”企业、科技型创新型中小企业；发挥人工智能应用场景优势，吸引国内人工智能头部企业在河北发展，推动设立区域总部、研发基地、创新中心，带动生态合作伙伴和上下游企业在河北聚集发展，培育在全国有影响力的人工智能企业和专精特新“小巨人”企业。</w:t>
      </w:r>
    </w:p>
    <w:p>
      <w:pPr>
        <w:spacing w:after="200"/>
      </w:pPr>
      <w:r>
        <w:rPr>
          <w:rFonts w:ascii="仿宋_GB2312" w:hAnsi="仿宋_GB2312" w:eastAsia="仿宋_GB2312"/>
          <w:b w:val="0"/>
          <w:sz w:val="24"/>
        </w:rPr>
        <w:t>（信息来源：河北日报9月7日《河北省将建一批“人工智能+制造”创新平台》  https://www.toutiao.com/article/7682576480366264832/）</w:t>
      </w:r>
    </w:p>
    <w:p>
      <w:pPr>
        <w:spacing w:before="240" w:after="80"/>
      </w:pPr>
      <w:r>
        <w:rPr>
          <w:rFonts w:ascii="黑体" w:hAnsi="黑体" w:eastAsia="黑体"/>
          <w:b/>
          <w:sz w:val="32"/>
        </w:rPr>
        <w:t>二、河北省消费品以旧换新补贴再扩围</w:t>
      </w:r>
    </w:p>
    <w:p>
      <w:pPr>
        <w:spacing w:lineRule="exact" w:line="560" w:after="40"/>
        <w:ind w:firstLine="640"/>
      </w:pPr>
      <w:r>
        <w:rPr>
          <w:rFonts w:ascii="仿宋_GB2312" w:hAnsi="仿宋_GB2312" w:eastAsia="仿宋_GB2312"/>
          <w:b w:val="0"/>
          <w:sz w:val="32"/>
        </w:rPr>
        <w:t>此次扩围是河北在落实国家以旧换新政策基础上，结合本地消费升级需求推出的地方性加力举措，重点向智能家居和适老化产品倾斜。根据9月1日省商务厅、省发展改革委、省财政厅联合印发的《河北省2026年消费品以旧换新自主品类补贴实施方案》，9月1日起河北省加力推出消费品以旧换新自主品类补贴活动。一是扩围10类补贴产品。将智能耳机、智能马桶/智能马桶盖、智能扫地机/智能洗地机、智能按摩椅、智能安防设备（含智能门锁、智能摄像头、智能猫眼）、智能洗碗机、具身智能机器人（含陪伴类机器人、机器狗、外骨骼机器人）、智能吸油烟机、智能燃气灶（含集成灶）、智能饮水机/净水机10类智能家居产品（含适老化家居产品）纳入自主品类补贴范围。二是明确补贴标准。对个人消费者购买上述10类产品的，给予扣除各环节优惠后最终销售价格15%的补贴；每类产品每名消费者可补贴1件，智能耳机每件补贴不超过500元，其他产品每件补贴不超过1500元。三是实行支付立减。个人消费者在参与活动的承办单位购买适用补贴产品，于支付环节按规定标准享受“支付立减”补贴；每月补贴资金实行限额管理，先到先得、用完即止。四是开展“六进”活动。深入开展消费品以旧换新进社区、进企业、进机关、进展会、进高校、进农村“六进”活动，鼓励线下门店打造多元化消费场景，建立咨询服务专线，做好政策答疑，确保政策落地见效。</w:t>
      </w:r>
    </w:p>
    <w:p>
      <w:pPr>
        <w:spacing w:after="200"/>
      </w:pPr>
      <w:r>
        <w:rPr>
          <w:rFonts w:ascii="仿宋_GB2312" w:hAnsi="仿宋_GB2312" w:eastAsia="仿宋_GB2312"/>
          <w:b w:val="0"/>
          <w:sz w:val="24"/>
        </w:rPr>
        <w:t>（信息来源：河北日报9月7日《河北省消费品以旧换新补贴再扩围》  https://k.sina.com.cn/article_5952915705_162d248f906703ni6o.html）</w:t>
      </w:r>
    </w:p>
    <w:p>
      <w:pPr>
        <w:spacing w:before="240" w:after="80"/>
      </w:pPr>
      <w:r>
        <w:rPr>
          <w:rFonts w:ascii="黑体" w:hAnsi="黑体" w:eastAsia="黑体"/>
          <w:b/>
          <w:sz w:val="32"/>
        </w:rPr>
        <w:t>三、河北省进一步优化生态环境领域服务质效</w:t>
      </w:r>
    </w:p>
    <w:p>
      <w:pPr>
        <w:spacing w:lineRule="exact" w:line="560" w:after="40"/>
        <w:ind w:firstLine="640"/>
      </w:pPr>
      <w:r>
        <w:rPr>
          <w:rFonts w:ascii="仿宋_GB2312" w:hAnsi="仿宋_GB2312" w:eastAsia="仿宋_GB2312"/>
          <w:b w:val="0"/>
          <w:sz w:val="32"/>
        </w:rPr>
        <w:t>省生态环境厅近日出台进一步优化营商环境若干举措，聚焦环评服务、资金争取、规范执法等方面，主动靠前服务，持续优化生态环境领域服务质效。一是优化环评许可服务。依托全省环评预约挂号服务平台，推行网上环评便捷咨询、项目“一键式”预约，落实审批部门与建设单位“一日对接”和在线咨询即时响应双机制；将生态环境部门所有行政审批项目全部实行预约挂号服务；持续开展环评服务专项行动，对各类重点项目实行清单管理、主动帮扶，集中破解难点堵点，依法加快项目落地。二是加大环保绩效评级帮扶。实行常态化帮扶与动态调整机制，根据企业需求对申请绩效升级的企业及时开展现场帮扶指导和政策解读，协助科学制定系统性升级方案，并按季度修订完善重污染天气应急减排清单。三是帮扶争取中央资金。对符合中央大气资金支持范围的大气污染治理项目，帮扶指导企业准备可行性研究报告、项目实施方案等材料，积极争取中央大气资金；在“河北省生态环境政策法规库”平台上线生态环境法典学习专栏，开展“专家公益大讲堂”，面向企业家开展送法进基层活动。四是规范涉企执法检查。明确行政执法主体、检查事项、检查计划、检查频次，严格落实分级审批、入企扫码、全过程记录；深化免罚帮扶，将26种轻微免罚行为纳入裁量基准，对符合免罚要求的轻微违法行为实行一次帮扶、两次督导、三次严惩。</w:t>
      </w:r>
    </w:p>
    <w:p>
      <w:pPr>
        <w:spacing w:after="200"/>
      </w:pPr>
      <w:r>
        <w:rPr>
          <w:rFonts w:ascii="仿宋_GB2312" w:hAnsi="仿宋_GB2312" w:eastAsia="仿宋_GB2312"/>
          <w:b w:val="0"/>
          <w:sz w:val="24"/>
        </w:rPr>
        <w:t>（信息来源：河北日报9月7日《河北省进一步优化生态环境领域服务质效》  https://k.sina.com.cn/article_5953466437_162dab0450670bbmbq.html）</w:t>
      </w:r>
    </w:p>
    <w:p>
      <w:pPr>
        <w:spacing w:before="240" w:after="80"/>
      </w:pPr>
      <w:r>
        <w:rPr>
          <w:rFonts w:ascii="黑体" w:hAnsi="黑体" w:eastAsia="黑体"/>
          <w:b/>
          <w:sz w:val="32"/>
        </w:rPr>
        <w:t>四、支付小切口托起消费大民生</w:t>
      </w:r>
    </w:p>
    <w:p>
      <w:pPr>
        <w:spacing w:lineRule="exact" w:line="560" w:after="40"/>
        <w:ind w:firstLine="640"/>
      </w:pPr>
      <w:r>
        <w:rPr>
          <w:rFonts w:ascii="仿宋_GB2312" w:hAnsi="仿宋_GB2312" w:eastAsia="仿宋_GB2312"/>
          <w:b w:val="0"/>
          <w:sz w:val="32"/>
        </w:rPr>
        <w:t>人民银行陕西省分行及各市分支机构聚焦支付服务中的痛点堵点，以“小切口”改革与创新，通过优化商圈支付环境、激活乡村文旅消费、点亮市井烟火经济及提升特定群体服务体验，逐步构建便捷高效普惠的现代化支付服务体系。一是升级商圈支付环境。咸阳作为全省唯一入选全国有奖发票试点的城市，开展“乐享咸阳·发票有礼”活动，覆盖零售、餐饮、住宿、文化艺术、娱乐、旅游、体育、居民服务八大消费领域，实行线上即验即奖、线下定期摇奖两套机制，累计发放中奖红包超6200万元；同步推进商圈支付基础设施改造，划定建成10个便民支付示范圈，覆盖重点商圈商户超5200家。二是畅通乡村文旅支付。立足秦巴山区景区分布零散特点，人行汉中市分行打造支付联动文旅特色生态圈，针对景区商铺业态杂、结算需求多样现状，量身搭建一体化支付结算平台，实现一码收款、一机结算；把支付服务延伸到田间地头，优化乡村助农取款服务点功能，在村镇农贸市场、农产品收购网点完善结算设施，补齐土特产线下收购、线上直播带货支付短板。三是提质老街夜市支付。针对安康石泉秦巴老街等特色街区结算滞后、渠道单一问题，开展支付环境专项提质行动，完善支付配套，提升夜间消费便捷度与安全性。</w:t>
      </w:r>
    </w:p>
    <w:p>
      <w:pPr>
        <w:spacing w:after="200"/>
      </w:pPr>
      <w:r>
        <w:rPr>
          <w:rFonts w:ascii="仿宋_GB2312" w:hAnsi="仿宋_GB2312" w:eastAsia="仿宋_GB2312"/>
          <w:b w:val="0"/>
          <w:sz w:val="24"/>
        </w:rPr>
        <w:t>（信息来源：陕西日报9月7日《支付小切口托起消费大民生》  https://new.qq.com/rain/a/20260907A03KED00）</w:t>
      </w:r>
    </w:p>
    <w:p>
      <w:pPr>
        <w:spacing w:before="240" w:after="80"/>
      </w:pPr>
      <w:r>
        <w:rPr>
          <w:rFonts w:ascii="黑体" w:hAnsi="黑体" w:eastAsia="黑体"/>
          <w:b/>
          <w:sz w:val="32"/>
        </w:rPr>
        <w:t>五、静安夜间消费券火热进行中</w:t>
      </w:r>
    </w:p>
    <w:p>
      <w:pPr>
        <w:spacing w:lineRule="exact" w:line="560" w:after="40"/>
        <w:ind w:firstLine="640"/>
      </w:pPr>
      <w:r>
        <w:rPr>
          <w:rFonts w:ascii="仿宋_GB2312" w:hAnsi="仿宋_GB2312" w:eastAsia="仿宋_GB2312"/>
          <w:b w:val="0"/>
          <w:sz w:val="32"/>
        </w:rPr>
        <w:t>作为上海国际消费中心城市建设与夜间经济培育的具体抓手，静安区三大商圈900多家合作门店同步开启夜间消费券活动，采用“即碰即用”玩法，消费者无需抢券，到店即可享受四档满减优惠。一是覆盖三大商圈九百余门店。活动在静安区三大商圈同步铺开，900多家合作门店参与，消费者到店消费即可参与，无需提前抢券，降低参与门槛与等待成本。二是实行“即碰即用”满减。采用“即碰即用”玩法，消费者到店后通过支付碰一碰即可触发满减优惠，享受四档满减，将传统“抢券—核销”环节简化为“到店即减”，提升夜间消费便捷度与核销率。三是明确活动时段。活动持续至9月23日，每日18:00至23:59有效，精准锁定夜间消费时段，与日间常规促销形成错峰互补，延长商圈营业活跃时长。四是营造夜间消费氛围。通过商圈联动、门店协同放大夜间消费集聚效应，将政策优惠与商圈客流直接对接，拉动夜间消费，为市民带来实惠，也为其他城区以“小切口”激活夜间经济提供可复制样本。</w:t>
      </w:r>
    </w:p>
    <w:p>
      <w:pPr>
        <w:spacing w:after="200"/>
      </w:pPr>
      <w:r>
        <w:rPr>
          <w:rFonts w:ascii="仿宋_GB2312" w:hAnsi="仿宋_GB2312" w:eastAsia="仿宋_GB2312"/>
          <w:b w:val="0"/>
          <w:sz w:val="24"/>
        </w:rPr>
        <w:t>（信息来源：解放日报9月7日《静安夜间消费券火热进行中》  https://new.qq.com/rain/a/20260907A030TL00）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