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560" w:lineRule="exact"/>
        <w:jc w:val="center"/>
      </w:pPr>
      <w:r>
        <w:rPr>
          <w:rFonts w:ascii="黑体" w:hAnsi="黑体" w:eastAsia="黑体"/>
          <w:b/>
          <w:sz w:val="44"/>
        </w:rPr>
        <w:t>媒体信息摘报</w:t>
      </w:r>
    </w:p>
    <w:p>
      <w:pPr>
        <w:spacing w:before="0" w:after="240" w:line="560" w:lineRule="exact"/>
        <w:jc w:val="center"/>
      </w:pPr>
      <w:r>
        <w:rPr>
          <w:rFonts w:ascii="仿宋_GB2312" w:hAnsi="仿宋_GB2312" w:eastAsia="仿宋_GB2312"/>
          <w:b w:val="0"/>
          <w:sz w:val="28"/>
        </w:rPr>
        <w:t>2026年9月29日 · 省级党报经济·科技·消费创新举措精选（福建省可借鉴）</w:t>
      </w:r>
    </w:p>
    <w:p>
      <w:pPr>
        <w:spacing w:before="200" w:after="80" w:line="560" w:lineRule="exact"/>
      </w:pPr>
      <w:r>
        <w:rPr>
          <w:rFonts w:ascii="黑体" w:hAnsi="黑体" w:eastAsia="黑体"/>
          <w:b/>
          <w:sz w:val="32"/>
        </w:rPr>
        <w:t>江苏首次为城市更新立法</w:t>
      </w:r>
    </w:p>
    <w:p>
      <w:pPr>
        <w:spacing w:before="0" w:after="40" w:line="560" w:lineRule="exact"/>
      </w:pPr>
      <w:r>
        <w:rPr>
          <w:rFonts w:ascii="仿宋_GB2312" w:hAnsi="仿宋_GB2312" w:eastAsia="仿宋_GB2312"/>
          <w:b w:val="0"/>
          <w:sz w:val="32"/>
        </w:rPr>
        <w:t>9月28日，省十四届人大常委会第二十五次会议审议《江苏省城市更新条例（草案）》，系江苏首次为城市更新立法，明确支持城镇老旧住房自主更新。草案界定城市更新涵盖城镇开发边界内存量空间开展的形态优化、功能品质提升、产业转型升级等建设治理活动，具体制度设计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建立“城市体检—专项规划—片区策划—年度计划”规划实施体系。设区市、县（市、区）政府定期组织城市体检，将体检结果作为编制更新计划重要依据；安全隐患重、市政基础设施与公共服务设施薄弱、严重影响历史风貌等区域，优先纳入年度实施计划。</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支持城镇老旧住房自主更新。鼓励物业权利人通过拆改结合、拆除重建等方式自主更新，经业主依法表决；拆除重建签约比例达95%以上（人大建议放宽至90%）的项目，政府优先支持并通过适当调整容积率、新增建筑面积、增配服务设施等推动达成；探索利用住房公积金、住宅专项维修资金支持危房改造、老旧住房自主更新与电梯加装更换。</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完善公众参与机制。建立全省城市更新项目库，物业权利人可常态申报入库；项目实施主体由居民表决或协商一致确定；编制专项规划、片区策划公开征求意见，涉及重大公共利益或重大意见分歧组织听证；依托12345热线归集研判群众诉求，建立投诉举报制度。</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优化审批与容错。鼓励经营主体通过投资、建设、运营等方式参与，保障其平等法律地位与市场机会；审批推行容缺受理、告知承诺、并联办理、联合验收，并设容错免责机制。</w:t>
      </w:r>
    </w:p>
    <w:p>
      <w:pPr>
        <w:spacing w:before="40" w:after="200" w:line="560" w:lineRule="exact"/>
      </w:pPr>
      <w:r>
        <w:rPr>
          <w:rFonts w:ascii="仿宋_GB2312" w:hAnsi="仿宋_GB2312" w:eastAsia="仿宋_GB2312"/>
          <w:b w:val="0"/>
          <w:sz w:val="24"/>
        </w:rPr>
        <w:t>（信息来源：新华日报9月29日《江苏首次为城市更新立法》  https://xh.xhby.net/pc/con/202609/29/content_1593915.html）</w:t>
      </w:r>
    </w:p>
    <w:p>
      <w:pPr>
        <w:spacing w:before="200" w:after="80" w:line="560" w:lineRule="exact"/>
      </w:pPr>
      <w:r>
        <w:rPr>
          <w:rFonts w:ascii="黑体" w:hAnsi="黑体" w:eastAsia="黑体"/>
          <w:b/>
          <w:sz w:val="32"/>
        </w:rPr>
        <w:t>891项省级涉企审批事项达全国最优水平</w:t>
      </w:r>
    </w:p>
    <w:p>
      <w:pPr>
        <w:spacing w:before="0" w:after="40" w:line="560" w:lineRule="exact"/>
      </w:pPr>
      <w:r>
        <w:rPr>
          <w:rFonts w:ascii="仿宋_GB2312" w:hAnsi="仿宋_GB2312" w:eastAsia="仿宋_GB2312"/>
          <w:b w:val="0"/>
          <w:sz w:val="32"/>
        </w:rPr>
        <w:t>9月28日，省十四届人大常委会第二十七次会议审议省人大常委会执法检查组关于检查《广东省优化营商环境条例》实施情况的报告。报告显示广东持续推进政务服务标准化、规范化、便利化改革，具体举措如下：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推进涉企审批提质增效。891项省级涉企审批事项达到全国最优水平，16723项地市事项实现“即办”或“一日办结”，高频涉企服务全面提升。</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规范市场准入与公平竞争。严格落实“全国一张清单”管理模式，开展市场准入壁垒清理整治专项行动，排查涉市场准入相关文件1195份，清理违规准入限制、地方保护、歧视性准入；实现省、市、县三级公平竞争审查全覆盖，推动部省共建粤港澳大湾区统一大市场公平竞争先行区。</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依法保护企业权益。成立省清理拖欠企业账款专班，成员单位“分市包干”督促加快加力清理；累计建设7家国家级知识产权保护中心、10家快速维权中心，2026年上半年查处侵犯知识产权类案件1861宗、案值4372.58万元。</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推动政策精准直达。在省政务服务网设“政策直达”专栏，建设“粤企政策通”平台，汇聚各类惠民利企政策，平均每条政策触达18.5万个经营主体，推动“人找政策”向“政策找人”转变。</w:t>
      </w:r>
    </w:p>
    <w:p>
      <w:pPr>
        <w:spacing w:before="0" w:after="40" w:line="560" w:lineRule="exact"/>
      </w:pPr>
      <w:r>
        <w:rPr>
          <w:rFonts w:ascii="仿宋_GB2312" w:hAnsi="仿宋_GB2312" w:eastAsia="仿宋_GB2312"/>
          <w:b/>
          <w:sz w:val="32"/>
        </w:rPr>
        <w:t>五是</w:t>
      </w:r>
      <w:r>
        <w:rPr>
          <w:rFonts w:ascii="仿宋_GB2312" w:hAnsi="仿宋_GB2312" w:eastAsia="仿宋_GB2312"/>
          <w:b w:val="0"/>
          <w:sz w:val="32"/>
        </w:rPr>
        <w:t>健全诉求闭环与信用修复。完善企业诉求“收集—交办—督办—反馈—评价”闭环机制；推动信用修复信息与公共信用平台、金融机构实时同步，实现企业信用“一次修复、全域生效”；报告建议推进智能审批及“零材料”办理等改革。</w:t>
      </w:r>
    </w:p>
    <w:p>
      <w:pPr>
        <w:spacing w:before="40" w:after="200" w:line="560" w:lineRule="exact"/>
      </w:pPr>
      <w:r>
        <w:rPr>
          <w:rFonts w:ascii="仿宋_GB2312" w:hAnsi="仿宋_GB2312" w:eastAsia="仿宋_GB2312"/>
          <w:b w:val="0"/>
          <w:sz w:val="24"/>
        </w:rPr>
        <w:t>（信息来源：南方日报9月29日《891项省级涉企审批事项达全国最优水平》  https://epaper.nfnews.com/nfdaily/html/202609/29/content_10182563.html）</w:t>
      </w:r>
    </w:p>
    <w:p>
      <w:pPr>
        <w:spacing w:before="200" w:after="80" w:line="560" w:lineRule="exact"/>
      </w:pPr>
      <w:r>
        <w:rPr>
          <w:rFonts w:ascii="黑体" w:hAnsi="黑体" w:eastAsia="黑体"/>
          <w:b/>
          <w:sz w:val="32"/>
        </w:rPr>
        <w:t>提升供地弹性 松绑用地包袱</w:t>
      </w:r>
    </w:p>
    <w:p>
      <w:pPr>
        <w:spacing w:before="0" w:after="40" w:line="560" w:lineRule="exact"/>
      </w:pPr>
      <w:r>
        <w:rPr>
          <w:rFonts w:ascii="仿宋_GB2312" w:hAnsi="仿宋_GB2312" w:eastAsia="仿宋_GB2312"/>
          <w:b w:val="0"/>
          <w:sz w:val="32"/>
        </w:rPr>
        <w:t>广州南沙作为全省首个土地管理综合改革试点区域，以弹性供地改革为牵引打出政策“组合拳”，过去五年累计招引百亿级项目16个、十亿级项目130个，投资总额超4000亿元，具体举措如下：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推行弹性年期出让。工业用地普遍实行20年、30年、40年弹性年期出让，替代传统“一刀切”50年出让；叠加“弹性年期出让+区级价格折让”，累计90宗工业用地实施该模式，为企业节约用地成本超21亿元；到期符合条件的项目可协议续期，年限合计不超过50年。</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探索1.5级开发。将具备建设条件的储备土地以短期租赁形式交主体开展过渡性运营，租赁期满按城市整体规划收回；南沙已印发《广州市南沙区土地1.5级开发操作指引（试行）》，完成广州首批1.5级开发用地供应，首期以10年租期出租建设轻量化便民商业体。</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构建多梯度产业空间保障。针对不同规模、不同发展阶段企业的现实诉求，匹配标准地及只租不售、可租可售产业用房等差异化空间保障方案，从源头破解市场主体找地难痛点；今年以来累计出让产业用地4861亩，提前超额完成全年目标。</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同步提速审批服务。落地“交地即交工”、建设工程规划许可告知承诺、即办审批、产权速办等改革，对重点产业项目提供全链条“一对一”管家式服务，打通建报、审批、开工等环节，推动重点项目早开工、早投产。</w:t>
      </w:r>
    </w:p>
    <w:p>
      <w:pPr>
        <w:spacing w:before="40" w:after="200" w:line="560" w:lineRule="exact"/>
      </w:pPr>
      <w:r>
        <w:rPr>
          <w:rFonts w:ascii="仿宋_GB2312" w:hAnsi="仿宋_GB2312" w:eastAsia="仿宋_GB2312"/>
          <w:b w:val="0"/>
          <w:sz w:val="24"/>
        </w:rPr>
        <w:t>（信息来源：南方日报9月29日《提升供地弹性 松绑用地包袱》  https://epaper.nfnews.com/nfdaily/html/202609/29/content_10182568.html）</w:t>
      </w:r>
    </w:p>
    <w:p>
      <w:pPr>
        <w:spacing w:before="200" w:after="80" w:line="560" w:lineRule="exact"/>
      </w:pPr>
      <w:r>
        <w:rPr>
          <w:rFonts w:ascii="黑体" w:hAnsi="黑体" w:eastAsia="黑体"/>
          <w:b/>
          <w:sz w:val="32"/>
        </w:rPr>
        <w:t>万亿之上，常州蓄能向新</w:t>
      </w:r>
    </w:p>
    <w:p>
      <w:pPr>
        <w:spacing w:before="0" w:after="40" w:line="560" w:lineRule="exact"/>
      </w:pPr>
      <w:r>
        <w:rPr>
          <w:rFonts w:ascii="仿宋_GB2312" w:hAnsi="仿宋_GB2312" w:eastAsia="仿宋_GB2312"/>
          <w:b w:val="0"/>
          <w:sz w:val="32"/>
        </w:rPr>
        <w:t>常州已集聚3400余家新能源产业链企业，动力电池产业链完整度达97%，2025年新能源产业规模突破万亿。近日印发《常州市“十五五”新能源产业发展规划》，构建“源网荷储碳”新型能源体系，具体举措如下：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做强“源网荷储碳”体系。巩固光伏、风电优势，推进钙钛矿、晶硅叠层等新型电池研发与产业化，拓展光热、海洋能、生物质能及核聚变能装备；发力特高压、智能输配电；壮大新能源汽车与智能网联汽车集群；多元布局钠离子、液流电池、盐穴压缩空气、氢储能等技术路线；完善碳足迹认证、碳资产管理、ESG服务链条。</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首创“首席双碳官”制度。全市设立502名首席双碳官，覆盖市区两级政府、重点国企与“十百千”大企业，由企业高管牵头统筹节能降碳与ESG治理；305家重点企业完成碳足迹核算，367个产品获得认证，数量居全省第二。</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建设近零碳园区与微电网。累计建成197个微电网项目，总投资超40亿元；作为国家车网互动规模化试点城市，组织近万辆次参与V2G放电，累计放电量突破50万千瓦时，让电动汽车从用电负荷转变为电网灵活调节资源。</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强化绿色金融赋能。推出“苏碳融”、碳资产质押、转型债券等创新产品，截至今年6月累计发放“苏碳融”资金55.44亿元，办理绿色再贴现资金166.42亿元，金融活水浇灌城市绿色转型。</w:t>
      </w:r>
    </w:p>
    <w:p>
      <w:pPr>
        <w:spacing w:before="40" w:after="200" w:line="560" w:lineRule="exact"/>
      </w:pPr>
      <w:r>
        <w:rPr>
          <w:rFonts w:ascii="仿宋_GB2312" w:hAnsi="仿宋_GB2312" w:eastAsia="仿宋_GB2312"/>
          <w:b w:val="0"/>
          <w:sz w:val="24"/>
        </w:rPr>
        <w:t>（信息来源：新华日报9月29日《万亿之上，常州蓄能向新》  https://xh.xhby.net/pc/con/202609/29/content_1593910.html）</w:t>
      </w:r>
    </w:p>
    <w:p>
      <w:pPr>
        <w:spacing w:before="200" w:after="80" w:line="560" w:lineRule="exact"/>
      </w:pPr>
      <w:r>
        <w:rPr>
          <w:rFonts w:ascii="黑体" w:hAnsi="黑体" w:eastAsia="黑体"/>
          <w:b/>
          <w:sz w:val="32"/>
        </w:rPr>
        <w:t>看早茶“打擂台”</w:t>
      </w:r>
    </w:p>
    <w:p>
      <w:pPr>
        <w:spacing w:before="0" w:after="40" w:line="560" w:lineRule="exact"/>
      </w:pPr>
      <w:r>
        <w:rPr>
          <w:rFonts w:ascii="仿宋_GB2312" w:hAnsi="仿宋_GB2312" w:eastAsia="仿宋_GB2312"/>
          <w:b w:val="0"/>
          <w:sz w:val="32"/>
        </w:rPr>
        <w:t>9月28日，泰州老街北广场人潮涌动，山东、浙江、宁夏、辽宁、广东、安徽、西藏七省（区）特色早茶扎堆登场，摊位前围满食客，泰州以美食为媒、以市集为台激活假日消费，打造城市美食IP，具体举措如下：</w:t>
      </w:r>
    </w:p>
    <w:p>
      <w:pPr>
        <w:spacing w:before="0" w:after="40" w:line="560" w:lineRule="exact"/>
      </w:pPr>
      <w:r>
        <w:rPr>
          <w:rFonts w:ascii="仿宋_GB2312" w:hAnsi="仿宋_GB2312" w:eastAsia="仿宋_GB2312"/>
          <w:b/>
          <w:sz w:val="32"/>
        </w:rPr>
        <w:t>一是</w:t>
      </w:r>
      <w:r>
        <w:rPr>
          <w:rFonts w:ascii="仿宋_GB2312" w:hAnsi="仿宋_GB2312" w:eastAsia="仿宋_GB2312"/>
          <w:b w:val="0"/>
          <w:sz w:val="32"/>
        </w:rPr>
        <w:t>发放早茶免费体验券。泰州面向高校学子发放80万元早茶免费体验券，每人20元，学校食堂及30多家早茶名店均可使用，让高校新生在入学季就感受到泰州的城市温度和文化魅力，以“小券”撬动“大流量”，把一次美食体验转化为对城市的持久好感度。</w:t>
      </w:r>
    </w:p>
    <w:p>
      <w:pPr>
        <w:spacing w:before="0" w:after="40" w:line="560" w:lineRule="exact"/>
      </w:pPr>
      <w:r>
        <w:rPr>
          <w:rFonts w:ascii="仿宋_GB2312" w:hAnsi="仿宋_GB2312" w:eastAsia="仿宋_GB2312"/>
          <w:b/>
          <w:sz w:val="32"/>
        </w:rPr>
        <w:t>二是</w:t>
      </w:r>
      <w:r>
        <w:rPr>
          <w:rFonts w:ascii="仿宋_GB2312" w:hAnsi="仿宋_GB2312" w:eastAsia="仿宋_GB2312"/>
          <w:b w:val="0"/>
          <w:sz w:val="32"/>
        </w:rPr>
        <w:t>打造沉浸式国潮消费场景。安排身着古装的“范仲淹”NPC沿街巡游，街巷货郎声声吆喝，市民可参与宋式投壶雅戏、漕埠谜题抢答、早茶知识挑战，集齐镖印兑换限定文创礼品，将传统早茶市集变为可逛可玩的宋代市井体验。</w:t>
      </w:r>
    </w:p>
    <w:p>
      <w:pPr>
        <w:spacing w:before="0" w:after="40" w:line="560" w:lineRule="exact"/>
      </w:pPr>
      <w:r>
        <w:rPr>
          <w:rFonts w:ascii="仿宋_GB2312" w:hAnsi="仿宋_GB2312" w:eastAsia="仿宋_GB2312"/>
          <w:b/>
          <w:sz w:val="32"/>
        </w:rPr>
        <w:t>三是</w:t>
      </w:r>
      <w:r>
        <w:rPr>
          <w:rFonts w:ascii="仿宋_GB2312" w:hAnsi="仿宋_GB2312" w:eastAsia="仿宋_GB2312"/>
          <w:b w:val="0"/>
          <w:sz w:val="32"/>
        </w:rPr>
        <w:t>搭建跨省美食集结平台。会宾楼、御汕楼、海陵一枝春等本土早茶店一字排开，镇江锅盖面、南京鸡鸣汤包、大连金米海胆疙瘩汤等七省（区）地标美食同场设摊，一站式尝遍大江南北早茶滋味；市集持续至10月7日，配合高校开学季持续放大城市美食IP引流效应。</w:t>
      </w:r>
    </w:p>
    <w:p>
      <w:pPr>
        <w:spacing w:before="0" w:after="40" w:line="560" w:lineRule="exact"/>
      </w:pPr>
      <w:r>
        <w:rPr>
          <w:rFonts w:ascii="仿宋_GB2312" w:hAnsi="仿宋_GB2312" w:eastAsia="仿宋_GB2312"/>
          <w:b/>
          <w:sz w:val="32"/>
        </w:rPr>
        <w:t>四是</w:t>
      </w:r>
      <w:r>
        <w:rPr>
          <w:rFonts w:ascii="仿宋_GB2312" w:hAnsi="仿宋_GB2312" w:eastAsia="仿宋_GB2312"/>
          <w:b w:val="0"/>
          <w:sz w:val="32"/>
        </w:rPr>
        <w:t>强化媒体与社交传播。市集现场鼓励食客拍照打卡、分享体验，以“线上种草、线下尝鲜”联动扩大影响，把单一美食活动延伸为城市文旅消费入口，带动周边餐饮、住宿与夜间消费。</w:t>
      </w:r>
    </w:p>
    <w:p>
      <w:pPr>
        <w:spacing w:before="40" w:after="200" w:line="560" w:lineRule="exact"/>
      </w:pPr>
      <w:r>
        <w:rPr>
          <w:rFonts w:ascii="仿宋_GB2312" w:hAnsi="仿宋_GB2312" w:eastAsia="仿宋_GB2312"/>
          <w:b w:val="0"/>
          <w:sz w:val="24"/>
        </w:rPr>
        <w:t>（信息来源：新华日报9月29日《看早茶“打擂台”》  https://xh.xhby.net/pc/con/202609/29/content_1594003.html）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