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line="560" w:lineRule="exact"/>
        <w:jc w:val="center"/>
      </w:pPr>
      <w:r>
        <w:rPr>
          <w:rFonts w:ascii="SimHei" w:cs="SimHei" w:eastAsia="SimHei" w:hAnsi="SimHei"/>
          <w:b/>
          <w:bCs/>
          <w:sz w:val="32"/>
          <w:szCs w:val="32"/>
        </w:rPr>
        <w:t xml:space="preserve">媒体信息摘报</w:t>
      </w:r>
    </w:p>
    <w:p>
      <w:pPr>
        <w:spacing w:after="400" w:before="0" w:line="560" w:lineRule="exact"/>
        <w:jc w:val="center"/>
      </w:pPr>
      <w:r>
        <w:rPr>
          <w:rFonts w:ascii="FangSong_GB2312" w:cs="FangSong_GB2312" w:eastAsia="FangSong_GB2312" w:hAnsi="FangSong_GB2312"/>
          <w:sz w:val="32"/>
          <w:szCs w:val="32"/>
        </w:rPr>
        <w:t xml:space="preserve">2026年7月15日  省级党报经济·科技·消费创新举措精选</w:t>
      </w:r>
    </w:p>
    <w:p>
      <w:pPr>
        <w:spacing w:after="100" w:before="300" w:line="560" w:lineRule="exact"/>
      </w:pPr>
      <w:r>
        <w:rPr>
          <w:rFonts w:ascii="SimHei" w:cs="SimHei" w:eastAsia="SimHei" w:hAnsi="SimHei"/>
          <w:b/>
          <w:bCs/>
          <w:sz w:val="32"/>
          <w:szCs w:val="32"/>
        </w:rPr>
        <w:t xml:space="preserve">全球算力基建赛道飙起"苏旋风"</w:t>
      </w:r>
    </w:p>
    <w:p>
      <w:pPr>
        <w:spacing w:after="100" w:before="0" w:line="560" w:lineRule="exact"/>
      </w:pPr>
      <w:r>
        <w:rPr>
          <w:rFonts w:ascii="FangSong_GB2312" w:cs="FangSong_GB2312" w:eastAsia="FangSong_GB2312" w:hAnsi="FangSong_GB2312"/>
          <w:sz w:val="32"/>
          <w:szCs w:val="32"/>
        </w:rPr>
        <w:t xml:space="preserve">随着全球AI大模型落地提速，北美、欧洲、东南亚、中东同步掀起智算中心建设热潮，国产光纤光缆、特种算力线缆、电力变压器、数据中心应急发电机组全链条配套迎来出口爆发期。南京海关最新数据显示，2026年1—4月江苏电线电缆出口199.3亿元，同比增长31.9%；铜线缆连续两个月领跑全国，3月出口2.99万吨、4月攀升至3.3万吨。光纤行业迎来"量价齐升、预付锁产"行情，G.657.A2光纤从去年每芯公里32元涨至如今240元，海外客户需全款预付后企业再排产，多家头部企业订单已排至2027年、2028年。江苏亨通光纤拥有全球单体规模最大光纤生产基地，日产光纤总长可绕地球4圈，春节、"五一"全程不停工。传统线缆企业也在经历"算力觉醒"，宜兴线缆产业积淀50年，近500家企业集体向算力高附加值赛道升级，企业智算业务营收占比超40%。常州变压器出口额10.4亿元，同比增长62%，凭借完整配套生态，海外厂商需两年交付的项目，常州企业最快3至4个月即可完成。苏美达柴油发电机组出口量同比增长超50%，从2019年1000多万美元跃升至2025年超1亿美元，成功打入德国、瑞士、日本等高标准市场，交货期仅需4至6个月。江苏正从"数据神经"到"电力心脏"组团出海，在全球算力基建赛道抢占先机。</w:t>
      </w:r>
    </w:p>
    <w:p>
      <w:pPr>
        <w:spacing w:after="300" w:before="0" w:line="560" w:lineRule="exact"/>
      </w:pPr>
      <w:r>
        <w:rPr>
          <w:rFonts w:ascii="FangSong_GB2312" w:cs="FangSong_GB2312" w:eastAsia="FangSong_GB2312" w:hAnsi="FangSong_GB2312"/>
          <w:i/>
          <w:iCs/>
          <w:sz w:val="32"/>
          <w:szCs w:val="32"/>
        </w:rPr>
        <w:t xml:space="preserve">（信息来源：新华日报7月15日《全球算力基建赛道飙起"苏旋风"》  https://xh.xhby.net/pc/con/202607/15/content_1572306.html）</w:t>
      </w:r>
    </w:p>
    <w:p>
      <w:pPr>
        <w:spacing w:after="100" w:before="300" w:line="560" w:lineRule="exact"/>
      </w:pPr>
      <w:r>
        <w:rPr>
          <w:rFonts w:ascii="SimHei" w:cs="SimHei" w:eastAsia="SimHei" w:hAnsi="SimHei"/>
          <w:b/>
          <w:bCs/>
          <w:sz w:val="32"/>
          <w:szCs w:val="32"/>
        </w:rPr>
        <w:t xml:space="preserve">扫个码，走到哪儿都有"家"</w:t>
      </w:r>
    </w:p>
    <w:p>
      <w:pPr>
        <w:spacing w:after="100" w:before="0" w:line="560" w:lineRule="exact"/>
      </w:pPr>
      <w:r>
        <w:rPr>
          <w:rFonts w:ascii="FangSong_GB2312" w:cs="FangSong_GB2312" w:eastAsia="FangSong_GB2312" w:hAnsi="FangSong_GB2312"/>
          <w:sz w:val="32"/>
          <w:szCs w:val="32"/>
        </w:rPr>
        <w:t xml:space="preserve">连云港市海州区构建新就业群体全域友好服务体系，将服务阵地精准布局至城市毛细血管。全区建成7个行业综合驿站、219个暖新驿站、41个微站与10个服务小屋，扫码即显服务地图，标配饮水、充电与应急药品，并延伸心理咨询与图书角。服务供给从社会工作部"独奏"演变为群团组织与业务部门"协奏"。针对职业风险，联合保险机构定制专属伤害保险，为奔波之路系上"安全带"；遴选100家友好商户组建"助新联盟"，持卡享受理发、购药、就餐优惠；216套精装"主播公寓"投用，配备共享直播间与人才服务站，让漂泊的网络主播真正"落地生根"。推出心理健康咨询、法律援助绿色通道、无人机配送技能培训等十项保障措施，把关心送到新就业群体的心坎上。1.3万余名新就业群体成为"治理合伙人"，组建"红韵·小哥"、小哥"巷理事"、"红韵·食安哨兵"3支志愿服务队，在日常配送中随时上报食品安全隐患、消防通道堵塞、道路破损等治理线索，累计收集有效信息270余条。越来越多"小哥"主动参与平安巡防、文明劝导，曾经的"服务对象"悄然转变为基层治理的"流动力量"。政治上关心、社会上尊重，让从业者干事有劲头、发展有奔头，2025年闪送外卖员陈文杰荣获省"五一劳动奖章"和劳动模范称号，全年发展新就业群体党员24名。</w:t>
      </w:r>
    </w:p>
    <w:p>
      <w:pPr>
        <w:spacing w:after="300" w:before="0" w:line="560" w:lineRule="exact"/>
      </w:pPr>
      <w:r>
        <w:rPr>
          <w:rFonts w:ascii="FangSong_GB2312" w:cs="FangSong_GB2312" w:eastAsia="FangSong_GB2312" w:hAnsi="FangSong_GB2312"/>
          <w:i/>
          <w:iCs/>
          <w:sz w:val="32"/>
          <w:szCs w:val="32"/>
        </w:rPr>
        <w:t xml:space="preserve">（信息来源：新华日报7月15日《扫个码，走到哪儿都有"家"》  https://xh.xhby.net/pc/con/202607/15/content_1572309.html）</w:t>
      </w:r>
    </w:p>
    <w:p>
      <w:pPr>
        <w:spacing w:after="100" w:before="300" w:line="560" w:lineRule="exact"/>
      </w:pPr>
      <w:r>
        <w:rPr>
          <w:rFonts w:ascii="SimHei" w:cs="SimHei" w:eastAsia="SimHei" w:hAnsi="SimHei"/>
          <w:b/>
          <w:bCs/>
          <w:sz w:val="32"/>
          <w:szCs w:val="32"/>
        </w:rPr>
        <w:t xml:space="preserve">清理不合理限制，"十五五"消费新政释放诚意</w:t>
      </w:r>
    </w:p>
    <w:p>
      <w:pPr>
        <w:spacing w:after="100" w:before="0" w:line="560" w:lineRule="exact"/>
      </w:pPr>
      <w:r>
        <w:rPr>
          <w:rFonts w:ascii="FangSong_GB2312" w:cs="FangSong_GB2312" w:eastAsia="FangSong_GB2312" w:hAnsi="FangSong_GB2312"/>
          <w:sz w:val="32"/>
          <w:szCs w:val="32"/>
        </w:rPr>
        <w:t xml:space="preserve">《扩大消费"十五五"规划》在服务消费扩容、大宗消费制度改革、新型消费培育等领域作出前瞻性部署。汽车消费方面，明确推动由购买管理向使用管理转变，分年限保障"久摇不中"无车家庭购车需求，探索城区、郊区差异化车辆购置指标管理，改变过去"限购、限行、限牌"的"堵"逻辑；同时部署二手车流通、汽车改装、租赁、赛事及房车露营等后市场消费，着眼于构建全生命周期汽车消费生态，让一辆车从出厂到报废的每个环节都成为消费增长节点。住房消费方面，提出因城施策增加改善性住房供给，建设安全舒适绿色智慧的"好房子"，配套推进老旧房屋适老化改造和智能化升级、物业服务质量提升行动，将住房消费链条拉长，买房不是终点，装修、家居、物业服务都是持续消费场景。休假制度方面，将"落实休息休假制度"作为促进消费专门章节进行部署，推动修订《职工带薪年休假条例》，严格落实职工带薪休假制度，增强制度执行刚性，把"刚性"写入国家级规划，意味着下一步可能在劳动监察、企业信用等方面建立配套约束机制。带薪休假增强有望将集中在"黄金周"的爆发式消费，分散为全年更均匀、质量更高的常态化消费。政策从"管控思维"走向"经营思维"，不再把居民消费视为需要被管理的对象，而是将其视为需要被激活的动能。</w:t>
      </w:r>
    </w:p>
    <w:p>
      <w:pPr>
        <w:spacing w:after="300" w:before="0" w:line="560" w:lineRule="exact"/>
      </w:pPr>
      <w:r>
        <w:rPr>
          <w:rFonts w:ascii="FangSong_GB2312" w:cs="FangSong_GB2312" w:eastAsia="FangSong_GB2312" w:hAnsi="FangSong_GB2312"/>
          <w:i/>
          <w:iCs/>
          <w:sz w:val="32"/>
          <w:szCs w:val="32"/>
        </w:rPr>
        <w:t xml:space="preserve">（信息来源：南方都市报7月15日《清理不合理限制，"十五五"消费新政释放诚意》  http://view.inews.qq.com/a/20260715A01ZUB00）</w:t>
      </w:r>
    </w:p>
    <w:p>
      <w:pPr>
        <w:spacing w:after="100" w:before="300" w:line="560" w:lineRule="exact"/>
      </w:pPr>
      <w:r>
        <w:rPr>
          <w:rFonts w:ascii="SimHei" w:cs="SimHei" w:eastAsia="SimHei" w:hAnsi="SimHei"/>
          <w:b/>
          <w:bCs/>
          <w:sz w:val="32"/>
          <w:szCs w:val="32"/>
        </w:rPr>
        <w:t xml:space="preserve">云南省升级类商品销售较快增长</w:t>
      </w:r>
    </w:p>
    <w:p>
      <w:pPr>
        <w:spacing w:after="100" w:before="0" w:line="560" w:lineRule="exact"/>
      </w:pPr>
      <w:r>
        <w:rPr>
          <w:rFonts w:ascii="FangSong_GB2312" w:cs="FangSong_GB2312" w:eastAsia="FangSong_GB2312" w:hAnsi="FangSong_GB2312"/>
          <w:sz w:val="32"/>
          <w:szCs w:val="32"/>
        </w:rPr>
        <w:t xml:space="preserve">云南省统计局发布数据显示，随着消费品以旧换新、彩云消费券等各项政策稳步实施，全省升级类商品及网络销售较快增长，饮食类商品销售总体平稳。升级类商品方面，1至5月限额以上单位可穿戴智能设备零售额增长54.3%，增速较1至4月提高6个百分点；高能效家电增长29%，体育娱乐用品增长24.5%，通讯器材增长12.1%。5月限额以上单位新能源汽车类商品零售额同比增长11.1%。随着居民收入水平提高，生活品质提升成为消费新热点。饮食类商品平稳增长，彩云美食消费券持续发放，印度洋海鲜节举办，1至5月限额以上单位水产品类增长28.7%、粮油食品类增长1.6%、烟酒类增长0.6%。网络销售较快增长，电商专区助力云品出滇，彩云电商消费券释放消费活力，移动互联网技术红利向经营红利转化，1至5月限额以上单位通过公共网络实现商品零售额同比增长21%，占限额以上单位商品零售额比重较上年同期提高2.2个百分点。省统计局分析认为，今年以来全省市场销售挑战不断增多，消费品以旧换新等系列政策在维护市场稳定、优化市场结构等方面发挥关键作用。下一阶段要深入实施提振消费专项行动，增强经济发展内生动力，促进居民消费能力增强、企业经营向好，推动全省消费品市场向好发展。</w:t>
      </w:r>
    </w:p>
    <w:p>
      <w:pPr>
        <w:spacing w:after="300" w:before="0" w:line="560" w:lineRule="exact"/>
      </w:pPr>
      <w:r>
        <w:rPr>
          <w:rFonts w:ascii="FangSong_GB2312" w:cs="FangSong_GB2312" w:eastAsia="FangSong_GB2312" w:hAnsi="FangSong_GB2312"/>
          <w:i/>
          <w:iCs/>
          <w:sz w:val="32"/>
          <w:szCs w:val="32"/>
        </w:rPr>
        <w:t xml:space="preserve">（信息来源：云南日报/云南网7月15日《云南省升级类商品销售较快增长》  https://finance.sina.com.cn/jjxw/2026-07-15/doc-inihvumr7875360.shtml）</w:t>
      </w:r>
    </w:p>
    <w:p>
      <w:pPr>
        <w:spacing w:after="100" w:before="300" w:line="560" w:lineRule="exact"/>
      </w:pPr>
      <w:r>
        <w:rPr>
          <w:rFonts w:ascii="SimHei" w:cs="SimHei" w:eastAsia="SimHei" w:hAnsi="SimHei"/>
          <w:b/>
          <w:bCs/>
          <w:sz w:val="32"/>
          <w:szCs w:val="32"/>
        </w:rPr>
        <w:t xml:space="preserve">芦淞税务：发挥税收职能作用 赋能航空产业高质量发展</w:t>
      </w:r>
    </w:p>
    <w:p>
      <w:pPr>
        <w:spacing w:after="100" w:before="0" w:line="560" w:lineRule="exact"/>
      </w:pPr>
      <w:r>
        <w:rPr>
          <w:rFonts w:ascii="FangSong_GB2312" w:cs="FangSong_GB2312" w:eastAsia="FangSong_GB2312" w:hAnsi="FangSong_GB2312"/>
          <w:sz w:val="32"/>
          <w:szCs w:val="32"/>
        </w:rPr>
        <w:t xml:space="preserve">株洲市芦淞区作为国内唯一中小航空发动机研制基地，聚集涉航企业120余家，拥有完整通航产业链。国家税务总局株洲市芦淞区税务局将税收服务深度嵌入航空产业全链条，以税助航、以税兴产。政策供给方面，聚焦高新技术企业所得税优惠、增值税留抵退税等系列税费政策，建立"一户一档"台账，辅导企业准确归集、规范享受，形成激励创新的政策合力。2025年以来累计为航空企业办理各类退税1.22亿元，落实研发费用加计扣除1.56亿元，助力SA750U大型无人运输机、山河星航消防无人机等整机研制取得突破，AES100涡轴发动机、AEP100涡桨发动机成功量产。服务效能方面，推出航空企业办税"绿色通道"，对发票申领、退税办理等事项实现专人对接、现场办结；成立"航空产业专家服务队"，在航空产业园设立"流动税收服务点"，涉税诉求一站受理、全程跟踪、限期办结；为初创航空企业提供从开办登记到日常申报的全流程辅导，今年以来涉税事项平均办理时限压缩30%。协同联动方面，深化与财政、园区管委会、属地街道等部门常态化协作，形成信息互通、工作互动、问题互商格局；强化"以税资政"，形成产业税收分析报告，围绕产业链税源结构、重点企业税收变动等维度开展深度分析，为研判产业走势、制定扶持政策提供决策参考；深化"银税互动"，将纳税信用与金融服务深度对接，帮助航空链上企业获取信用贷款1.2亿元，有效缓解企业融资难题。</w:t>
      </w:r>
    </w:p>
    <w:p>
      <w:pPr>
        <w:spacing w:after="300" w:before="0" w:line="560" w:lineRule="exact"/>
      </w:pPr>
      <w:r>
        <w:rPr>
          <w:rFonts w:ascii="FangSong_GB2312" w:cs="FangSong_GB2312" w:eastAsia="FangSong_GB2312" w:hAnsi="FangSong_GB2312"/>
          <w:i/>
          <w:iCs/>
          <w:sz w:val="32"/>
          <w:szCs w:val="32"/>
        </w:rPr>
        <w:t xml:space="preserve">（信息来源：湖南日报7月15日《芦淞税务：发挥税收职能作用 赋能航空产业高质量发展》  https://www.hunantoday.cn/news/xhn/202607/33148440.html）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2026-07-15T00:10:14.666Z</dcterms:created>
  <dcterms:modified xsi:type="dcterms:W3CDTF">2026-07-15T00:10:14.667Z</dcterms:modified>
</cp:coreProperties>
</file>

<file path=docProps/custom.xml><?xml version="1.0" encoding="utf-8"?>
<Properties xmlns="http://schemas.openxmlformats.org/officeDocument/2006/custom-properties" xmlns:vt="http://schemas.openxmlformats.org/officeDocument/2006/docPropsVTypes"/>
</file>