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/>
        <w:jc w:val="center"/>
      </w:pPr>
      <w:r>
        <w:rPr>
          <w:rFonts w:ascii="黑体" w:hAnsi="黑体" w:eastAsia="黑体"/>
          <w:b/>
          <w:sz w:val="32"/>
        </w:rPr>
        <w:t>2026年9月8日（周二）</w:t>
      </w:r>
    </w:p>
    <w:p>
      <w:pPr>
        <w:spacing w:lineRule="exact" w:line="560" w:before="120"/>
      </w:pPr>
      <w:r>
        <w:rPr>
          <w:rFonts w:ascii="黑体" w:hAnsi="黑体" w:eastAsia="黑体"/>
          <w:b/>
          <w:sz w:val="32"/>
        </w:rPr>
        <w:t>一、北京出台20条措施推动家政服务业升级 鼓励"人机协同"照护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北京市商务局印发《进一步提升居家照护服务质量 推进家政服务业健康发展工作实施方案》，围绕提升居家照护质量、推动家政服务业健康发展两大目标，从六个方面提出20项具体举措。一是鼓励智能设备研发应用。支持企业研发家庭照护机器人、健康监测等智能设备，推动智能终端在家政陪护、健康监测等场景落地，提升服务的科技支撑能力。二是探索"人机协同"新型照护模式。推动人工智能、物联网技术与居家照护深度融合，构建"智能设备辅助+人工专业服务"协同发力的工作方式，缓解高龄、失能群体照护人手不足难题。三是搭建数字化对接渠道。依托"京通"等数字化载体，建设线上线下一体化家政服务对接平台，实现服务需求精准匹配、服务过程可追溯、服务质量可评价。四是完善服务标准规范。健全居家照护服务内容、作业流程、安全管理等标准体系，强化从业人员技能培训与职业技能等级认定，提升服务专业化、规范化水平。五是强化政策保障与综合监管。落实财税、金融等支持政策，加强家政服务机构和从业人员信用管理，畅通消费投诉与维权渠道，营造放心安全的消费环境。六是拓展重点人群服务供给。聚焦老年人、婴幼儿、失能半失能群体，增加普惠性、嵌入式照护服务供给，推动社区照护服务设施建设，扩大服务覆盖面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（信息来源：北京日报9月8日《北京出台20条措施推动家政服务业升级 鼓励"人机协同"照护》  https://new.qq.com/rain/a/20260908A03MXK00?refer=cp_1009）</w:t>
      </w:r>
    </w:p>
    <w:p>
      <w:pPr>
        <w:spacing w:lineRule="exact" w:line="560" w:before="120"/>
      </w:pPr>
      <w:r>
        <w:rPr>
          <w:rFonts w:ascii="黑体" w:hAnsi="黑体" w:eastAsia="黑体"/>
          <w:b/>
          <w:sz w:val="32"/>
        </w:rPr>
        <w:t>二、最高14万！湖北这些车辆报废更新有补贴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近日，湖北省交通运输厅、省发改委、省公安厅、省生态环境厅、省商务厅联合印发《湖北省2026年老旧营运货车报废更新补贴实施细则》（鄂交函〔2026〕140号），明确即日起至2026年12月31日，对符合条件的老旧营运货车报废更新给予一次性定额补贴。一是明确补贴对象。补贴面向2026年1月1日前在湖北省公安部门注册登记且持有有效《道路运输证》的国三、国四中重型营运货车（含柴油、天然气车型）。二是实行差别化补贴标准。按照报废车辆类型、报废时间和新购置车辆动力类型等实施分档补贴，单车补贴最高可达14万元；报废车辆距强制报废期不足1年的，仍可单独申领新车购置补贴。三是强化资金保障。补贴资金来自中央超长期特别国债，实行"总额控制、电动优先、先到先得、用完即止"原则，新能源重卡在审核和拨付环节享受优先办理，各地为更新新能源重卡预留专项额度，各市州资金按月均衡使用、额度用完即向社会公告。四是建立预登记制度。今年实行"先预约资格、后报废更新、再申报资金"流程，预登记审核通过是申请补贴的前置条件；车主须通过电脑端"省级交通运输大规模设备更新系统"或手机端微信"设备更新快捷通"小程序在线填报信息完成预登记，审核通过前不得自行办理报废注销或新购手续；仅报废的须在30日内、报废并更新的须在45日内完成相关手续，经县级交通运输部门线下核实、市州多部门联审通过后，补贴资金直接拨付至车主预留银行账户。同时，2026年1月1日前已完成报废更新、车主被列入失信名单或已获其他中央资金支持的，均不纳入补贴范围。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b w:val="0"/>
          <w:sz w:val="32"/>
        </w:rPr>
        <w:t>（信息来源：湖北日报9月8日《最高14万！湖北这些车辆报废更新有补贴》  https://so.html5.qq.com/page/real/search_news?docid=70000021_0606a9f3a1970452）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