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黑体" w:hAnsi="黑体" w:eastAsia="黑体"/>
          <w:b/>
          <w:sz w:val="32"/>
        </w:rPr>
        <w:t>6.17媒体信息摘报</w:t>
      </w:r>
    </w:p>
    <w:p>
      <w:pPr>
        <w:spacing w:line="480" w:lineRule="auto" w:after="0" w:before="0"/>
      </w:pPr>
      <w:r>
        <w:rPr>
          <w:rFonts w:ascii="仿宋_GB2312" w:hAnsi="仿宋_GB2312" w:eastAsia="仿宋_GB2312"/>
          <w:b/>
          <w:sz w:val="32"/>
        </w:rPr>
        <w:t>打造世界级新型机电一体化和人工智能产业集群  助力广东高质量迈向制造强省</w:t>
      </w:r>
    </w:p>
    <w:p>
      <w:pPr>
        <w:spacing w:line="480" w:lineRule="auto" w:after="0" w:before="0"/>
        <w:ind w:firstLine="640"/>
      </w:pPr>
      <w:r>
        <w:rPr>
          <w:rFonts w:ascii="仿宋_GB2312" w:hAnsi="仿宋_GB2312" w:eastAsia="仿宋_GB2312"/>
          <w:sz w:val="32"/>
        </w:rPr>
        <w:t>6月16日下午，省委书记黄坤明在广州主持召开广东加快推进新型机电一体化产业发展座谈会，就更好谋划推动新型机电一体化产业发展、加快制造强省建设听取有关领域科学家、企业家意见建议。中国工程院院士周济、杨中民、高文等高校和科研机构代表系统介绍了机电一体化最新科研成果与产业动向，华为、腾讯、树根互联、美的、优必选、明珞装备等企业代表介绍了各类新型机电一体化技术的实际运行成效。黄坤明在讲话中详细介绍了当前和今后一个时期广东支持新型机电一体化产业发展的政策举措，强调要坚持机电产业升级与人工智能发展双向发力，着力打造世界级新型机电一体化和人工智能产业集群。在攻坚新技术方面，围绕解决“卡脖子”问题组织开展体系化攻关，加大对新能源汽车、无人机等技术领跑领域的支持力度，深耕机器人视觉、智能传感、先进材料等赛道，努力实现核心关键环节和关键战略材料自主可控。在构建新业态方面，主攻新一代智能制造，推动制造系统从自动化迈向自主化，一手抓传统产业转型升级，一手抓具身智能、脑机接口、商业航天等风口，全力开发工业智能体、生活智能体，打造现象级“时代新品”，同时大力发展新一代智能服务。在塑造新主体方面，支持具备先进机电制造能力和前沿软件算法的龙头企业牵头成立创新联合体，聚力打造工业互联网平台、概念验证中心和成果转化中试平台，培育战略科学家和战略企业家。在拓展新市场方面，围绕“百县千镇万村高质量发展工程”实施、智慧城市打造、海洋经济发展等开放更多场景，推动无人机、无人车船、机器人等新产品大规模应用，支持企业和产品出海抢订单、拓市场。在建立新机制方面，进一步加强省级统筹，建立协同推进机制，强化区域联动，积极引导形成全省差异化布局，完善算力、数据、模型等基础要素保障。</w:t>
      </w:r>
    </w:p>
    <w:p>
      <w:pPr>
        <w:spacing w:line="480" w:lineRule="auto" w:after="0" w:before="0"/>
      </w:pPr>
      <w:r>
        <w:rPr>
          <w:rFonts w:ascii="仿宋_GB2312" w:hAnsi="仿宋_GB2312" w:eastAsia="仿宋_GB2312"/>
          <w:sz w:val="32"/>
        </w:rPr>
        <w:t>（信息来源：南方日报6月17日《打造世界级新型机电一体化和人工智能产业集群  助力广东高质量迈向制造强省》  https://epaper.nfnews.com/nfdaily/html/202606/17/content_10173389.html）</w:t>
      </w:r>
    </w:p>
    <w:p>
      <w:pPr>
        <w:spacing w:line="480" w:lineRule="auto" w:after="0" w:before="280"/>
      </w:pPr>
      <w:r>
        <w:rPr>
          <w:rFonts w:ascii="仿宋_GB2312" w:hAnsi="仿宋_GB2312" w:eastAsia="仿宋_GB2312"/>
          <w:b/>
          <w:sz w:val="32"/>
        </w:rPr>
        <w:t>百万职工走进工会“大学校”</w:t>
      </w:r>
    </w:p>
    <w:p>
      <w:pPr>
        <w:spacing w:line="480" w:lineRule="auto" w:after="0" w:before="0"/>
        <w:ind w:firstLine="640"/>
      </w:pPr>
      <w:r>
        <w:rPr>
          <w:rFonts w:ascii="仿宋_GB2312" w:hAnsi="仿宋_GB2312" w:eastAsia="仿宋_GB2312"/>
          <w:sz w:val="32"/>
        </w:rPr>
        <w:t>南通将产业工人大轮训作为产改重要任务，充分发挥工会“大学校”作用，全力打造知识型、技能型、创新型产业工人队伍。在理论铸魂方面，南通市总工会探索将思政课开到产业链上，组建专家名师库，培训劳模工匠宣讲骨干，打造“线上直播+线下巡讲”双轨并行轮训模式，联动企业推广“班前一刻钟”“板凳微宣讲”等灵活形式。海安市总工会推广党课“学分”兑换培训机会制度，产业工人主动参与思政活动的比例从42%提升至超过78%。在培养新时代工匠方面，南通制定实施“五一工匠人才培育工程”，推出建设不少于1100家创新工作室、建立工匠人才库等14条举措，已建成工匠学院23家。今年4月成立江海工匠学院联盟，推动工匠培育迈入资源整合、协同发力阶段。“劳模工匠助企行”专项行动启动3年多来，持续拓展“企业点单+工会买单”服务范围，先后动员超1200人次劳模工匠参与，组织1万余名职工投入“名师带徒”，仅去年就服务企业超7.4万家，解决技术难题11.5万个。在实战砺兵方面，南通坚持“训用结合、以训促干”，完善“市级竞赛—行业比武—企业练兵”赛事体系，结合优势产业打造“人工智能+”“新能源技术”等新兴产业领域的标杆赛事，去年组织各类竞赛2060场，参赛职工16.36万人次，带动技能等级晋升1.16万人次。江苏恒源液压有限公司通过“劳动之星”技能比武，职工技能达标率从85%提升至96%。今年1至4月，南通规模以上工业增加值同比增长8.0%，其中规上高技术制造业增加值增长19.5%，数字产品制造业增加值增长17.1%。</w:t>
      </w:r>
    </w:p>
    <w:p>
      <w:pPr>
        <w:spacing w:line="480" w:lineRule="auto" w:after="0" w:before="0"/>
      </w:pPr>
      <w:r>
        <w:rPr>
          <w:rFonts w:ascii="仿宋_GB2312" w:hAnsi="仿宋_GB2312" w:eastAsia="仿宋_GB2312"/>
          <w:sz w:val="32"/>
        </w:rPr>
        <w:t>（信息来源：新华日报6月17日《百万职工走进工会“大学校”》  https://xh.xhby.net/pc/con/202606/17/content_1564213.html）</w:t>
      </w:r>
    </w:p>
    <w:p>
      <w:pPr>
        <w:spacing w:line="480" w:lineRule="auto" w:after="0" w:before="280"/>
      </w:pPr>
      <w:r>
        <w:rPr>
          <w:rFonts w:ascii="仿宋_GB2312" w:hAnsi="仿宋_GB2312" w:eastAsia="仿宋_GB2312"/>
          <w:b/>
          <w:sz w:val="32"/>
        </w:rPr>
        <w:t>小智AI给传统制造装上“智慧大脑”</w:t>
      </w:r>
    </w:p>
    <w:p>
      <w:pPr>
        <w:spacing w:line="480" w:lineRule="auto" w:after="0" w:before="0"/>
        <w:ind w:firstLine="640"/>
      </w:pPr>
      <w:r>
        <w:rPr>
          <w:rFonts w:ascii="仿宋_GB2312" w:hAnsi="仿宋_GB2312" w:eastAsia="仿宋_GB2312"/>
          <w:sz w:val="32"/>
        </w:rPr>
        <w:t>深圳企业十方融海科技有限公司自主研发的开源AI框架——小智AI，正在为广东传统制造业装上“智慧大脑”。东莞博艺朗蓝牙音箱厂将小智AI接入普通蓝牙音箱，产品直接变成能对话、能认人、能记住上次聊到哪的智能音箱，售价从几十元涨至几百元，海外订单翻了两番。汕头澄海达芬奇科技把同样的技术塞进毛绒公仔，半年时间出口20万件，和公仔对话成为很多东南亚小孩的日常。4月27日，十方融海创始人陈劢在广东省人工智能应用对接大会上登台分享，不到两个月，小智AI相关产品签约累计突破4000万元，来自广州、汕头、中山、东莞等地的16家制造业企业纷纷上门对接。十方融海将自己定位为基础大模型与硬件厂商之间的“桥梁”——先把基础大模型能力整合起来，再针对硬件场景做系统性应用开发，包括芯片兼容适配、云端服务端构建、算力成本规划、多轮对话流畅度优化、情感交互自然度提升，最终变成一套“开箱即用”的解决方案。截至目前，小智AI在软件项目托管平台已获得超过2.7万颗星标，接入硬件设备超150万台，日对话量高达400万次，日均消耗词元超1200亿。2026年5月，十方融海发布“引擎、开源、智能体、终端”四层闭环架构，已适配乐鑫、博通等7家国内主流芯片厂商，汇聚超过10万名开发者，形成生机勃勃的开源生态。广东全省人工智能核心产业规模2025年突破3000亿元，约占全国1/4，正朝着打造全国领先的人工智能应用先行省份迈进。</w:t>
      </w:r>
    </w:p>
    <w:p>
      <w:pPr>
        <w:spacing w:line="480" w:lineRule="auto" w:after="0" w:before="0"/>
      </w:pPr>
      <w:r>
        <w:rPr>
          <w:rFonts w:ascii="仿宋_GB2312" w:hAnsi="仿宋_GB2312" w:eastAsia="仿宋_GB2312"/>
          <w:sz w:val="32"/>
        </w:rPr>
        <w:t>（信息来源：南方日报6月17日《小智AI给传统制造装上“智慧大脑”》  https://epaper.nfnews.com/nfdaily/html/202606/17/content_10173392.html）</w:t>
      </w:r>
    </w:p>
    <w:p>
      <w:pPr>
        <w:spacing w:line="480" w:lineRule="auto" w:after="0" w:before="280"/>
      </w:pPr>
      <w:r>
        <w:rPr>
          <w:rFonts w:ascii="仿宋_GB2312" w:hAnsi="仿宋_GB2312" w:eastAsia="仿宋_GB2312"/>
          <w:b/>
          <w:sz w:val="32"/>
        </w:rPr>
        <w:t>青年科创企业家实训营开营，怀柔区打造“科技成果转化高地”</w:t>
      </w:r>
    </w:p>
    <w:p>
      <w:pPr>
        <w:spacing w:line="480" w:lineRule="auto" w:after="0" w:before="0"/>
        <w:ind w:firstLine="640"/>
      </w:pPr>
      <w:r>
        <w:rPr>
          <w:rFonts w:ascii="仿宋_GB2312" w:hAnsi="仿宋_GB2312" w:eastAsia="仿宋_GB2312"/>
          <w:sz w:val="32"/>
        </w:rPr>
        <w:t>6月16日，青年科创企业家实训营在北京金隅兴发科技园正式开营。本次实训营由区委教育科技人才工作领导小组办公室指导，北京金隅兴发科技有限公司与德勤中国联合主办，创新推出“1+N”特色实训模式，区别于传统“听课即结束”的短期创业培训，实现全周期、闭环式项目孵化。“1”为集中实训，课程精准对标青年团队痛点，包括怀柔区青创政策专场解读、专家讲解商业计划书撰写与融资核心逻辑、高校院所科技成果转化落地实操等内容，并通过模拟路演遴选优质项目。“N”为长效赋能服务，针对筛选出的优质项目持续开展细分赛道专场路演、定向产业资源对接、一对一创业导师陪跑服务。实训营整合多方优势资源：中国科学院大学提供源头科创项目储备，德勤中国提供商业化赋能、融资对接等优质资源，金隅兴发科技园承载落地空间与产业生态，怀柔区配套青创扶持政策，构建起覆盖源头创新、概念验证、创业辅导、资本赋能、产业加速的全链条创新服务生态。此次实训营吸引中国科学院大学30个项目团队参与，覆盖人工智能、生物医药、新材料、智能制造四大赛道。典型项目包括GEEKROS（具身智能时代的实时交互基础设施）、科技赋农（智慧农业温湿度监测与智能灌溉系统）、律师AI助手、具身智能人脸机器人等。下一步，青年科创企业家实训营将实现常态化、品牌化运营，怀柔区将持续深化政校企协同创新机制，完善“种子培育—孵化加速—快速成长—持续赋能”良性循环，为首都科技成果转化探索可复制、可推广的怀柔实践。</w:t>
      </w:r>
    </w:p>
    <w:p>
      <w:pPr>
        <w:spacing w:line="480" w:lineRule="auto" w:after="0" w:before="0"/>
      </w:pPr>
      <w:r>
        <w:rPr>
          <w:rFonts w:ascii="仿宋_GB2312" w:hAnsi="仿宋_GB2312" w:eastAsia="仿宋_GB2312"/>
          <w:sz w:val="32"/>
        </w:rPr>
        <w:t>（信息来源：北京日报6月17日《青年科创企业家实训营开营，怀柔区打造“科技成果转化高地”》  https://news.bjd.com.cn/2026/06/17/11811138.shtml）</w:t>
      </w:r>
    </w:p>
    <w:p>
      <w:pPr>
        <w:spacing w:line="480" w:lineRule="auto" w:after="0" w:before="280"/>
      </w:pPr>
      <w:r>
        <w:rPr>
          <w:rFonts w:ascii="仿宋_GB2312" w:hAnsi="仿宋_GB2312" w:eastAsia="仿宋_GB2312"/>
          <w:b/>
          <w:sz w:val="32"/>
        </w:rPr>
        <w:t>四川出台直播带岗省级地方标准</w:t>
      </w:r>
    </w:p>
    <w:p>
      <w:pPr>
        <w:spacing w:line="480" w:lineRule="auto" w:after="0" w:before="0"/>
        <w:ind w:firstLine="640"/>
      </w:pPr>
      <w:r>
        <w:rPr>
          <w:rFonts w:ascii="仿宋_GB2312" w:hAnsi="仿宋_GB2312" w:eastAsia="仿宋_GB2312"/>
          <w:sz w:val="32"/>
        </w:rPr>
        <w:t>由省人力资源社会保障厅组织制定的地方标准《直播带岗服务规范》，近日由省市场监督管理局批准发布，将于6月29日起实施。直播带岗是指利用直播平台，以网络直播形式介绍招聘岗位信息，与求职者互动交流，促进求职者和用人单位人岗匹配的招聘模式。目前成都、资阳、眉山、内江、阿坝、巴中等地涌现出多种直播带岗特色模式。但调研显示，直播带岗服务普遍存在主播人员门槛低、服务流程不规范、招聘信息真实性难以保障、服务质量参差不齐等问题。该服务规范直击当前直播带岗领域存在的问题，明确了直播带岗全流程规则，规范了服务内容与操作程序。在规范直播带岗平台职责方面，要求平台具备用户注册与管理、信息审核、直播与预约、岗位发布及搜索管理、互动区管理、简历投递与管理、录播与回放、客服、用户反馈与投诉举报、直播数据统计分析、监控与违规处理等11项功能。在提升从业人员素质方面，明确直播招聘师应符合六个方面要求：有良好的语言表达能力和人际沟通能力；有直播经验，熟悉直播带岗服务流程；掌握职业介绍业务理论知识，能为求职者进行职业指导；了解就业招聘市场，熟悉与直播、人力资源服务相关的法律法规与政策；保持良好形象，服饰、妆容、语言、行为、肢体动作及画面展示等应文明得体；具备直播带岗服务所需的其他专业知识和技能。该规范还要求直播结束后确保将收集到的简历及时反馈给用人单位，对服务对象进行跟踪回访，建立服务台账保存2年以上，招聘信息和服务信息保存时间自服务完成之日起不少于3年。</w:t>
      </w:r>
    </w:p>
    <w:p>
      <w:pPr>
        <w:spacing w:line="480" w:lineRule="auto" w:after="0" w:before="0"/>
      </w:pPr>
      <w:r>
        <w:rPr>
          <w:rFonts w:ascii="仿宋_GB2312" w:hAnsi="仿宋_GB2312" w:eastAsia="仿宋_GB2312"/>
          <w:sz w:val="32"/>
        </w:rPr>
        <w:t>（信息来源：四川日报6月17日《四川出台直播带岗省级地方标准》  https://epaper.scdaily.cn/shtml/scrb/20260617/1081926.html）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