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exact" w:line="560" w:after="80" w:before="0"/>
        <w:jc w:val="center"/>
      </w:pPr>
      <w:r>
        <w:rPr>
          <w:rFonts w:ascii="黑体" w:hAnsi="黑体" w:eastAsia="黑体"/>
          <w:b/>
          <w:sz w:val="32"/>
        </w:rPr>
        <w:t>媒体信息摘报</w:t>
      </w:r>
    </w:p>
    <w:p>
      <w:pPr>
        <w:spacing w:lineRule="exact" w:line="560" w:after="200" w:before="0"/>
        <w:jc w:val="center"/>
      </w:pPr>
      <w:r>
        <w:rPr>
          <w:rFonts w:ascii="仿宋_GB2312" w:hAnsi="仿宋_GB2312" w:eastAsia="仿宋_GB2312"/>
          <w:b w:val="0"/>
          <w:sz w:val="32"/>
        </w:rPr>
        <w:t>（2026年10月7日）</w:t>
      </w:r>
    </w:p>
    <w:p>
      <w:pPr>
        <w:spacing w:lineRule="exact" w:line="560" w:after="80" w:before="0"/>
      </w:pPr>
      <w:r>
        <w:rPr>
          <w:rFonts w:ascii="黑体" w:hAnsi="黑体" w:eastAsia="黑体"/>
          <w:b/>
          <w:sz w:val="32"/>
        </w:rPr>
        <w:t>1. 浙江全链条支撑生物医药产业发展 力争到2030年集群营收超5000亿元</w:t>
      </w:r>
    </w:p>
    <w:p>
      <w:pPr>
        <w:spacing w:lineRule="exact" w:line="560" w:after="80" w:before="0"/>
      </w:pPr>
      <w:r>
        <w:rPr>
          <w:rFonts w:ascii="仿宋_GB2312" w:hAnsi="仿宋_GB2312" w:eastAsia="仿宋_GB2312"/>
          <w:b w:val="0"/>
          <w:sz w:val="32"/>
        </w:rPr>
        <w:t>浙江省政府办公厅日前印发《关于促进生物医药产业高质量发展的指导意见》，提出到2030年产业集群营业收入超5000亿元、规上企业研发费用占比达7%左右。主要举措如下：一是布局前沿技术。以临床需求为牵引，布局细胞与基因治疗、抗体药物、核酸药物、放射性药品、现代中药、医学人工智能与高端医疗器械等领域，制定重点研发清单；建立企业培育库，企业牵头省重大科技项目占比不低于80%。二是强化临床转化。支持高水平研究型医院建设，鼓励按床位10%设置研究型床位；对提供临床Ⅱ、Ⅲ期试验的牵头医疗机构按年度经费5%补助、最高400万元，对协助上市的研究型医院每项最高补助800万元；伦理审查总用时控制在4周以内。三是提速审评审批。深化“提前介入、研审联动”，畅通创新药和医疗器械优先检验绿色通道，对临床急需药械“即收即检”；第二类医疗器械特别审查程序审评时限控制在40个工作日以内，创新药和医疗器械注册抽样、核查“即到即办”。四是集群建设与数智转型。深化产业集群核心区、协同区、未来产业先导区建设，支持生物医药类化工园区按规定扩园，实施约100项转型示范项目，规上医药企业数字化水平2.0全覆盖。五是开放合作与数据赋能。争取生物技术领域扩大开放试点，支持杭州片区生物医药全产业链开放创新发展，完善研发用物品进口“白名单”制度；建设省医学生物信息数据库，到2030年建成50个以上高质量语料库、行业数据集。</w:t>
      </w:r>
    </w:p>
    <w:p>
      <w:pPr>
        <w:spacing w:lineRule="exact" w:line="560" w:after="240" w:before="0"/>
      </w:pPr>
      <w:r>
        <w:rPr>
          <w:rFonts w:ascii="仿宋_GB2312" w:hAnsi="仿宋_GB2312" w:eastAsia="仿宋_GB2312"/>
          <w:b w:val="0"/>
          <w:sz w:val="32"/>
        </w:rPr>
        <w:t>（信息来源：浙江日报10月7日《浙江全链条支撑生物医药产业发展 力争到2030年集群营收超5000亿元》  https://www.toutiao.com/article/7693698885574820390/）</w:t>
      </w:r>
    </w:p>
    <w:p>
      <w:pPr>
        <w:spacing w:lineRule="exact" w:line="560" w:after="80" w:before="0"/>
      </w:pPr>
      <w:r>
        <w:rPr>
          <w:rFonts w:ascii="黑体" w:hAnsi="黑体" w:eastAsia="黑体"/>
          <w:b/>
          <w:sz w:val="32"/>
        </w:rPr>
        <w:t>2. 县域乡村旅游升温 夜间经济持续火热</w:t>
      </w:r>
    </w:p>
    <w:p>
      <w:pPr>
        <w:spacing w:lineRule="exact" w:line="560" w:after="80" w:before="0"/>
      </w:pPr>
      <w:r>
        <w:rPr>
          <w:rFonts w:ascii="仿宋_GB2312" w:hAnsi="仿宋_GB2312" w:eastAsia="仿宋_GB2312"/>
          <w:b w:val="0"/>
          <w:sz w:val="32"/>
        </w:rPr>
        <w:t>国庆假期第六天，广东省4A级及以上景区接待游客233万人次，文旅消费持续攀升。南方日报报道，广东以“文艺展演+节庆沉浸”为双引擎，构建全时段消费场景，主要举措如下：一是打造“戏曲+展览+夜游+非遗”全时段消费场景。大湾区“湾区烟火”、粤东“山海侨韵”、粤西“海丝文脉”、粤北“多彩人文”四大文旅廊道协同出圈；省非物质文化遗产馆组织游客沉浸式体验佛山彩灯、端砚制作技艺等非遗项目，“邀您看戏”系列活动在线观看达4.6万人次；广东省博物馆推出“印象·梵高”等沉浸式数字艺术展配套活动，10月6日线上预约观众14004人次。二是推动文艺文博场所广受追捧。广州市属17家博物馆10月6日共接待游客62238人次、举办活动30场、展览71个；深圳自然博物馆八大常设展厅全部开放，恐龙厅26米超长马门溪龙真化石吸引大量观众；东莞市博物馆新馆九大展览涵盖莞邑文化、岭南文明、中华文明与当代艺术，10月1日至6日进馆累计139526人次，入列全国十大热门博物馆。三是发展乡村游作为假日文旅增长点。广东紧扣“百县千镇万村高质量发展工程”与农文旅融合主线，推出主题丰富的乡村文旅活动，为游客提供山林徒步、农事体验、非遗手作等多元选择，乡村游成为广东假日文旅市场重要增长点。四是丰富夜间经济供给。以夜间演艺、非遗市集、街区活动延长消费时段，将文旅流量转化为在地消费，构建“全时段、全场景”的假日消费格局。</w:t>
      </w:r>
    </w:p>
    <w:p>
      <w:pPr>
        <w:spacing w:lineRule="exact" w:line="560" w:after="240" w:before="0"/>
      </w:pPr>
      <w:r>
        <w:rPr>
          <w:rFonts w:ascii="仿宋_GB2312" w:hAnsi="仿宋_GB2312" w:eastAsia="仿宋_GB2312"/>
          <w:b w:val="0"/>
          <w:sz w:val="32"/>
        </w:rPr>
        <w:t>（信息来源：南方日报10月7日《县域乡村旅游升温 夜间经济持续火热》  https://epaper.nfnews.com/nfdaily/html/202610/07/content_10182963.html）</w:t>
      </w:r>
    </w:p>
    <w:p>
      <w:pPr>
        <w:spacing w:lineRule="exact" w:line="560" w:after="80" w:before="0"/>
      </w:pPr>
      <w:r>
        <w:rPr>
          <w:rFonts w:ascii="黑体" w:hAnsi="黑体" w:eastAsia="黑体"/>
          <w:b/>
          <w:sz w:val="32"/>
        </w:rPr>
        <w:t>3. 国庆假期消费市场“热辣滚烫”</w:t>
      </w:r>
    </w:p>
    <w:p>
      <w:pPr>
        <w:spacing w:lineRule="exact" w:line="560" w:after="80" w:before="0"/>
      </w:pPr>
      <w:r>
        <w:rPr>
          <w:rFonts w:ascii="仿宋_GB2312" w:hAnsi="仿宋_GB2312" w:eastAsia="仿宋_GB2312"/>
          <w:b w:val="0"/>
          <w:sz w:val="32"/>
        </w:rPr>
        <w:t>国庆假期，安徽消费市场热气腾腾，各地深化商文体旅健农展创融合，丰富消费场景。主要举措如下：一是首店与老字号双轮聚流。合肥淮河路步行街新近开业网红茶饮门店带动客流，老字号门店成为外来游客“必打卡”地，以新鲜感与本土味聚合消费流量。二是政企联动释放购车红利。9月30日至10月5日合肥国际新能源汽车展览会期间，国家报废补贴至高20000元、省级置换补贴至高15000元，叠加安徽省汽车行业促消费“焕新礼包”、厂家车展专属让利、车展订车大礼包等多重福利，本届车展售出新车18283辆、销售额33.15亿元。三是激活县域消费。阜南开展“徽动消费·惠聚阜南”国庆惠民嘉年华，整合本地农特产品、柳编非遗文创等业态资源，搭建企业展示推介与群众休闲消费对接平台。四是创新政策工具发放多场景消费券。多地发放覆盖汽车、文旅、餐饮、商超、家电数码、电影等场景的消费券：亳州开启“光影药都”电影惠民消费券；寿县启动中秋国庆专项消费券；黄山游客凭交通车票、夜游打卡、趣味竞赛等方式获取文旅游戏券，在景区指定商户兑换文创好物、美食套餐、体验服务及消费优惠；宿州创新建立省十六运会票根全市通用机制，持观赛票根可在全市餐饮、住宿、景区、加油站等场所享受专属折扣，推动赛事流量转化为消费增量。</w:t>
      </w:r>
    </w:p>
    <w:p>
      <w:pPr>
        <w:spacing w:lineRule="exact" w:line="560" w:after="240" w:before="0"/>
      </w:pPr>
      <w:r>
        <w:rPr>
          <w:rFonts w:ascii="仿宋_GB2312" w:hAnsi="仿宋_GB2312" w:eastAsia="仿宋_GB2312"/>
          <w:b w:val="0"/>
          <w:sz w:val="32"/>
        </w:rPr>
        <w:t>（信息来源：安徽日报10月7日《国庆假期消费市场“热辣滚烫”》  https://www.ahnews.com.cn/yaowen1/pc/con/2026-10/07/496_1806006.html）</w:t>
      </w:r>
    </w:p>
    <w:p>
      <w:pPr>
        <w:spacing w:lineRule="exact" w:line="560" w:after="80" w:before="0"/>
      </w:pPr>
      <w:r>
        <w:rPr>
          <w:rFonts w:ascii="黑体" w:hAnsi="黑体" w:eastAsia="黑体"/>
          <w:b/>
          <w:sz w:val="32"/>
        </w:rPr>
        <w:t>4. 国庆假期“慢充度假”悄然走俏</w:t>
      </w:r>
    </w:p>
    <w:p>
      <w:pPr>
        <w:spacing w:lineRule="exact" w:line="560" w:after="80" w:before="0"/>
      </w:pPr>
      <w:r>
        <w:rPr>
          <w:rFonts w:ascii="仿宋_GB2312" w:hAnsi="仿宋_GB2312" w:eastAsia="仿宋_GB2312"/>
          <w:b w:val="0"/>
          <w:sz w:val="32"/>
        </w:rPr>
        <w:t>2026年国庆假期，湖北文旅市场“错峰出游、热度不减”，轻量休闲“慢充度假”悄然走俏。主要举措如下：一是推出工业科技研学专线。武汉光谷推出“半天看懂中国智造”四条专线，将空轨巡检、人形机器人、华工激光、脑机接口等科创场景与工业场地转化为沉浸式研学产品；黄冈策划“声动黄冈文旅探索季”研学项目，武钢文化旅游区、小米智能家电工厂、周黑鸭主题工业园、岚图汽车云峰工厂等工业研学产品受亲子家庭追捧；湖北三峡移民博物馆以AI、AR科技赋能观展。二是打造商文旅融合场景。武汉、宜昌等地商业核心地标突破传统商业空间，实现空间焕新、品牌升级，成为城市中心漫游目的地；武汉武商梦时代“梦”系列打造“日咖夜酒，慢生活”松弛社交空间。三是供给乡村微度假产品。依托“知音湖北乐享金秋”消费季，省内多地推出晒秋景观打卡、农事体验、乡土市集、文娱赛事等特色项目；武汉江夏里、咸宁萝卜公社、竹溪大石门仙暇小镇、罗田柿里牧歌农旅区、梁子岛生态旅游区等地打造晒秋茶馆、田园餐厅、稻田收割、丰收市集、农事比赛、湖鲜美食等特色晒秋活动；麻城五脑山第11届国际菊花展联动乡村文旅。四是放大交通红利。依托“西十高铁”开通，十堰博物馆日均游客量超8000人次，持续放大客流效应，带动周边文旅消费。</w:t>
      </w:r>
    </w:p>
    <w:p>
      <w:pPr>
        <w:spacing w:lineRule="exact" w:line="560" w:after="240" w:before="0"/>
      </w:pPr>
      <w:r>
        <w:rPr>
          <w:rFonts w:ascii="仿宋_GB2312" w:hAnsi="仿宋_GB2312" w:eastAsia="仿宋_GB2312"/>
          <w:b w:val="0"/>
          <w:sz w:val="32"/>
        </w:rPr>
        <w:t>（信息来源：湖北日报10月7日《国庆假期“慢充度假”悄然走俏》  https://ctdsbepaper.hubeidaily.net/pc/content/202610/07/content_360244.html）</w:t>
      </w:r>
    </w:p>
    <w:p>
      <w:pPr>
        <w:spacing w:lineRule="exact" w:line="560" w:after="80" w:before="0"/>
      </w:pPr>
      <w:r>
        <w:rPr>
          <w:rFonts w:ascii="黑体" w:hAnsi="黑体" w:eastAsia="黑体"/>
          <w:b/>
          <w:sz w:val="32"/>
        </w:rPr>
        <w:t>5. 舌尖滋味浓 消费热度高</w:t>
      </w:r>
    </w:p>
    <w:p>
      <w:pPr>
        <w:spacing w:lineRule="exact" w:line="560" w:after="80" w:before="0"/>
      </w:pPr>
      <w:r>
        <w:rPr>
          <w:rFonts w:ascii="仿宋_GB2312" w:hAnsi="仿宋_GB2312" w:eastAsia="仿宋_GB2312"/>
          <w:b w:val="0"/>
          <w:sz w:val="32"/>
        </w:rPr>
        <w:t>贵阳贵安以政策补贴撬动消费、以本土风味聚拢客流、以业态融合延长消费，将舌尖烟火转化为假日经济增长动力。主要举措如下：一是发放无门槛餐饮消费券。贵阳组织餐饮企业参加“食尚贵州·爱上黔菜”餐饮消费券系列活动，面向市民游客推出无门槛8折优惠；规则设计做“减法”，消费者无需领券，进入“一码游贵州”专区下单套餐、云闪付支付即享立减，云闪付成为结账首选方式。二是以门店服务放大引流。参与活动餐饮门店工作人员主动向到店消费者讲解核销规则、指引优惠操作，不少游客在惠民福利吸引下主动加购特色菜品、饮品小吃，提升消费意愿与客单支出，发挥餐饮作为城市消费“第一站”的引流功能。三是推进业态融合拉长消费链条。依托九大系列促消费活动，以餐饮为纽带串联潮流休闲、文创市集、文旅演艺、商圈消费等多元场景；“Chill day”青云市集精酿啤酒节组织20余家本土及省外精酿品牌集中亮相，全场统一使用“哈酒币”消费，可在精酿、鸡尾酒摊位换购酒水，也可到文创空间选购文创产品；阿云朵仓“秋月游灯会”以河灯祈愿、戏剧表演将美食、文创市集收进国风夜色；方圆荟中京广场把百家邻里圆桌宴、DIY手作工坊搬上同一“饭桌”。四是升级消费业态。精美餐饮、精品咖啡、精酿啤酒等业态不断升级，“贵阳味道”成为假日消费亮眼名片。</w:t>
      </w:r>
    </w:p>
    <w:p>
      <w:pPr>
        <w:spacing w:lineRule="exact" w:line="560" w:after="240" w:before="0"/>
      </w:pPr>
      <w:r>
        <w:rPr>
          <w:rFonts w:ascii="仿宋_GB2312" w:hAnsi="仿宋_GB2312" w:eastAsia="仿宋_GB2312"/>
          <w:b w:val="0"/>
          <w:sz w:val="32"/>
        </w:rPr>
        <w:t>（信息来源：贵州日报10月7日《舌尖滋味浓 消费热度高》  https://www.toutiao.com/article/7693704155826749990/）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仿宋_GB2312" w:hAnsi="仿宋_GB2312" w:eastAsia="仿宋_GB2312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