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color w:val="1A1A1A"/>
          <w:sz w:val="44"/>
        </w:rPr>
        <w:t>媒体信息摘报</w:t>
      </w:r>
    </w:p>
    <w:p>
      <w:pPr>
        <w:jc w:val="center"/>
      </w:pPr>
      <w:r>
        <w:rPr>
          <w:rFonts w:ascii="仿宋_GB2312" w:hAnsi="仿宋_GB2312"/>
          <w:color w:val="555555"/>
          <w:sz w:val="24"/>
        </w:rPr>
        <w:t>省级党报经济·科技·消费创新举措精选（福建省可借鉴）</w:t>
      </w:r>
    </w:p>
    <w:p>
      <w:pPr>
        <w:jc w:val="center"/>
      </w:pPr>
      <w:r>
        <w:rPr>
          <w:rFonts w:ascii="仿宋_GB2312" w:hAnsi="仿宋_GB2312"/>
          <w:sz w:val="24"/>
        </w:rPr>
        <w:t>2026年10月12日</w:t>
      </w:r>
    </w:p>
    <w:p/>
    <w:p>
      <w:pPr>
        <w:spacing w:lineRule="exact" w:line="560" w:after="120"/>
      </w:pPr>
      <w:r>
        <w:rPr>
          <w:rFonts w:ascii="黑体" w:hAnsi="黑体" w:eastAsia="黑体"/>
          <w:b/>
          <w:sz w:val="32"/>
        </w:rPr>
        <w:t>1. 六十载老厂区焕新，“玻纤里”亮相</w:t>
      </w:r>
    </w:p>
    <w:p>
      <w:pPr>
        <w:spacing w:lineRule="exact" w:line="560"/>
      </w:pPr>
      <w:r>
        <w:rPr>
          <w:rFonts w:ascii="仿宋_GB2312" w:hAnsi="仿宋_GB2312" w:eastAsia="仿宋_GB2312"/>
          <w:b w:val="0"/>
          <w:sz w:val="32"/>
        </w:rPr>
        <w:t>南京玻纤院老旧厂区更新改造项目于9月28日完成焕新升级，正式定名“玻纤里”，探索出“央地合作+市场化驱动”的城市更新新路径。一是创新“央地合作+市场化驱动”获取模式。项目由南京市城建集团所属城市更新产业投资公司与专业运营机构万谷集团以联合体方式竞标获取，引入社会资本参与老旧厂区更新，形成可复制、可推广的“南京经验”。二是率先获批5年过渡期政策。在市、区各级政府部门支持下，项目突破传统审批时序，从启动改造到首批次竣工验收用时不到一年，跑出城市更新加速度。三是按照“北产南商”总体布局有机更新。最大程度保留工业桁架、红砖外墙及园林绿化等历史肌理，北侧打造城市森林式办公研发集群，南侧布局街区式开放商业空间。四是搭建“主导—辅助—特色”多元招商体系。主导产业瞄准软件、人工智能应用等需独立门头与研发测试场地的科创企业；辅助产业聚焦知识产权、金融创投、工业文创设计、检验检测等生产性服务业；特色产业依托玻纤院资源禀赋，布局新材料研发销售总部，引进需独立展示办公的央国企。五是围绕四大主题引入商业业态。商业板块围绕品质消费、潮流运动、亲子文化、休闲餐饮四大主题引入品牌，配套书店、市集、小剧场、酒店等多元业态，构建产业与商业互促共荣的活力生态，并设“红色服务驿站”提供政策解读、法律服务、资源链接、人才对接等集成服务。</w:t>
      </w:r>
    </w:p>
    <w:p>
      <w:pPr>
        <w:spacing w:lineRule="exact" w:line="560"/>
      </w:pPr>
      <w:r>
        <w:rPr>
          <w:rFonts w:ascii="仿宋_GB2312" w:hAnsi="仿宋_GB2312" w:eastAsia="仿宋_GB2312"/>
          <w:b w:val="0"/>
          <w:sz w:val="32"/>
        </w:rPr>
        <w:t>（信息来源：新华日报10月12日《六十载老厂区焕新，“玻纤里”亮相》  https://finance.sina.com.cn/jjxw/2026-10-12/doc-iniuxfms0351079.shtml）</w:t>
      </w:r>
    </w:p>
    <w:p/>
    <w:p>
      <w:pPr>
        <w:spacing w:lineRule="exact" w:line="560" w:after="120"/>
      </w:pPr>
      <w:r>
        <w:rPr>
          <w:rFonts w:ascii="黑体" w:hAnsi="黑体" w:eastAsia="黑体"/>
          <w:b/>
          <w:sz w:val="32"/>
        </w:rPr>
        <w:t>2. 聚焦未来赛道 布局成果转化</w:t>
      </w:r>
    </w:p>
    <w:p>
      <w:pPr>
        <w:spacing w:lineRule="exact" w:line="560"/>
      </w:pPr>
      <w:r>
        <w:rPr>
          <w:rFonts w:ascii="仿宋_GB2312" w:hAnsi="仿宋_GB2312" w:eastAsia="仿宋_GB2312"/>
          <w:b w:val="0"/>
          <w:sz w:val="32"/>
        </w:rPr>
        <w:t>长沙理工大学在建校70周年之际，相继揭牌未来技术学院（未来技术研究院）与科创港，以新平台布局亮出向新而行姿态，探索高校科技成果转化开放体系。一是聚焦前沿领域预研攻关。未来技术学院瞄准未来交通、未来能源、未来材料、未来信息、未来健康、未来空天地海交叉融合等前沿领域，从湖南产业转型升级和未来产业布局中寻找真问题，重点开展前瞻性技术预研、颠覆性技术攻关和科技成果落地转化，打造多学科深度交叉、人工智能赋能的未来技术科创体系。二是科创港实行长周期免租与设备共享。科创港主要招募新型科创企业、与学校特色行业相关企业、与学科共建研究院企业，入驻企业最长可享3年免租，并可共享学校价值8亿元的科研设备资源，享受从项目落地到产业发展全周期服务。三是构建“企业出题、交叉融合创新团队答题、市场判题”核心模式。以产业真实需求牵引科研，打通“概念验证中心+中试平台+成果超市”体系，科研人员成果转化收益最高比例可达90%。四是同步揭牌技术经理人学院。该学院聚焦湖南技术转移人才短板，培育“懂技术、懂产业、懂管理、懂金融、懂转化”复合型技术经理人队伍，以真实产业化项目开展实战教学，助力高校成果从“书架”走向“货架”。科创港开港首日已有233个意向入驻主体排队候场、12家企业现场签约。</w:t>
      </w:r>
    </w:p>
    <w:p>
      <w:pPr>
        <w:spacing w:lineRule="exact" w:line="560"/>
      </w:pPr>
      <w:r>
        <w:rPr>
          <w:rFonts w:ascii="仿宋_GB2312" w:hAnsi="仿宋_GB2312" w:eastAsia="仿宋_GB2312"/>
          <w:b w:val="0"/>
          <w:sz w:val="32"/>
        </w:rPr>
        <w:t>（信息来源：湖南日报10月12日《聚焦未来赛道 布局成果转化》  https://epaper.voc.com.cn/hnrb/html/2026-10/12/content_1803651.htm）</w:t>
      </w:r>
    </w:p>
    <w:p/>
    <w:p>
      <w:pPr>
        <w:spacing w:lineRule="exact" w:line="560" w:after="120"/>
      </w:pPr>
      <w:r>
        <w:rPr>
          <w:rFonts w:ascii="黑体" w:hAnsi="黑体" w:eastAsia="黑体"/>
          <w:b/>
          <w:sz w:val="32"/>
        </w:rPr>
        <w:t>3. 销售额超1.79亿元！天河东部商圈消费市场热力十足</w:t>
      </w:r>
    </w:p>
    <w:p>
      <w:pPr>
        <w:spacing w:lineRule="exact" w:line="560"/>
      </w:pPr>
      <w:r>
        <w:rPr>
          <w:rFonts w:ascii="仿宋_GB2312" w:hAnsi="仿宋_GB2312" w:eastAsia="仿宋_GB2312"/>
          <w:b w:val="0"/>
          <w:sz w:val="32"/>
        </w:rPr>
        <w:t>天河区前进街立足金融城东部门户定位，以企业服务“软实力”筑牢经济发展“硬支撑”，围绕东部商圈发展需求创新政企协同服务机制。一是搭建政企沟通“快车道”。街道围绕东部商圈发展需求，创新搭建政企沟通“快车道”，以座谈会、企业联络群等常态化机制，全天候跟进企业经营诉求，确保问题有人接、有人办。二是靶向解决经营堵点。今年以来累计高效解决停车收费、税票提额、证照办理等经营堵点问题80个，用实打实的服务为美林天地等商业载体扫清障碍、提质升级。三是深化“全周期陪伴”服务。街道明确将持续深化“全周期陪伴”服务，从企业入驻、建设到运营全程跟进，确保招商落地与业态培育有人盯、有人帮，推动商业载体从家居博览中心向年销售额突破80亿元的超级商业体跃升。四是推进重点产业载体建设。全力推进天海国际数智广告产业园、美林三期梦谷M·Grove次元文化数创中心、The One元境科创中心等项目建设，助力天河东部商圈向“百家名店、亿次客流、百亿商场、千亿商圈”目标迈进。五是强化头部主力店带动。依托山姆会员店、宜家家居两大头部主力店，带动零售、新能源汽车、餐饮多业态集聚，打造广州培育建设国际消费中心城市的东部核心载体。</w:t>
      </w:r>
    </w:p>
    <w:p>
      <w:pPr>
        <w:spacing w:lineRule="exact" w:line="560"/>
      </w:pPr>
      <w:r>
        <w:rPr>
          <w:rFonts w:ascii="仿宋_GB2312" w:hAnsi="仿宋_GB2312" w:eastAsia="仿宋_GB2312"/>
          <w:b w:val="0"/>
          <w:sz w:val="32"/>
        </w:rPr>
        <w:t>（信息来源：南方日报10月12日《销售额超1.79亿元！天河东部商圈消费市场热力十足》  https://www.nfnews.com/content/EynG4Npd3Z.html）</w:t>
      </w:r>
    </w:p>
    <w:p/>
    <w:p>
      <w:pPr>
        <w:spacing w:lineRule="exact" w:line="560" w:after="120"/>
      </w:pPr>
      <w:r>
        <w:rPr>
          <w:rFonts w:ascii="黑体" w:hAnsi="黑体" w:eastAsia="黑体"/>
          <w:b/>
          <w:sz w:val="32"/>
        </w:rPr>
        <w:t>4. 老厂房 正青春</w:t>
      </w:r>
    </w:p>
    <w:p>
      <w:pPr>
        <w:spacing w:lineRule="exact" w:line="560"/>
      </w:pPr>
      <w:r>
        <w:rPr>
          <w:rFonts w:ascii="仿宋_GB2312" w:hAnsi="仿宋_GB2312" w:eastAsia="仿宋_GB2312"/>
          <w:b w:val="0"/>
          <w:sz w:val="32"/>
        </w:rPr>
        <w:t>四川将老旧厂区更新作为推进城市更新、激活存量经济的重要抓手，持续深耕“工业遗产+文商旅+在地产业”融合发展模式。一是发布“十五五”首批城市更新机会清单。今年7月，四川发布“十五五”时期首批城市更新机会清单，共涵盖1753个项目、计划总投资5218亿元，覆盖老旧厂区改造、城市生态修复等八大重点领域，以清单化方式向社会推介更新机会。二是摒弃大拆大建、探索差异化活化路径。各地坚持“小规模、渐进式、可持续”理念，因地制宜探索差异化活化路径，完整保留红砖墙体、钢架管道、复古铁轨等工业符号，让工业遗存从“参观标本”变为持续迭代的城市活力空间。三是打造标杆性工业文旅地标。东郊记忆由原国营红光电子管厂改造而来，成为享誉全国的工业文旅地标；其辐射带动周边集群连片焕新，西南医疗物资配送仓库升级为红仓·完美文创公园，原成都机车车辆厂老厂区蜕变为中车·源STAGE，老旧物资仓库改造为萌想星球107文创园。四是拓展多元业态场景。武侯区梵木flying国际文创公园由原滑翔机制造厂改造，集聚青年群体；百年1906弹药制造厂迭代为1906创意工厂，老旧厂房转型马术、艺术体操等运动休闲空间；水厂1946由老牌供水企业旧址改造，为商圈经济、夜间消费注入新活力。五是办好数字光影等新业态活动。2026成都国际数字光影艺术节落地东郊记忆，将光影投射于红砖厂房与工业管廊，以“工业历史+现代科技”沉浸式体验打破单一观光模式。</w:t>
      </w:r>
    </w:p>
    <w:p>
      <w:pPr>
        <w:spacing w:lineRule="exact" w:line="560"/>
      </w:pPr>
      <w:r>
        <w:rPr>
          <w:rFonts w:ascii="仿宋_GB2312" w:hAnsi="仿宋_GB2312" w:eastAsia="仿宋_GB2312"/>
          <w:b w:val="0"/>
          <w:sz w:val="32"/>
        </w:rPr>
        <w:t>（信息来源：四川日报10月12日《老厂房 正青春》  https://epaper.scdaily.cn/shtml/scrb/20261012/1091691.html）</w:t>
      </w:r>
    </w:p>
    <w:p/>
    <w:p>
      <w:pPr>
        <w:spacing w:lineRule="exact" w:line="560" w:after="120"/>
      </w:pPr>
      <w:r>
        <w:rPr>
          <w:rFonts w:ascii="黑体" w:hAnsi="黑体" w:eastAsia="黑体"/>
          <w:b/>
          <w:sz w:val="32"/>
        </w:rPr>
        <w:t>5. 拿地即发证 开工不用等</w:t>
      </w:r>
    </w:p>
    <w:p>
      <w:pPr>
        <w:spacing w:lineRule="exact" w:line="560"/>
      </w:pPr>
      <w:r>
        <w:rPr>
          <w:rFonts w:ascii="仿宋_GB2312" w:hAnsi="仿宋_GB2312" w:eastAsia="仿宋_GB2312"/>
          <w:b w:val="0"/>
          <w:sz w:val="32"/>
        </w:rPr>
        <w:t>郴州经开区深化“园区事园区办”改革，以“批、供、登”一体化打通用地审批堵点，系统优化园区营商环境。一是推行“批供登”一体化服务。由经开区总牵头，联合市自然资源和规划局、市不动产登记中心成立专班，实行“一个项目、一套专班、一张清单、一跟到底”；权籍调查提前介入、成果互认复用，服务关口前移至招商洽谈阶段，用地报批、供地前期、登记材料同步推进，全流程办理时间压缩近一半。二是推动权责人员下沉园区。园区将82项赋权服务事项集中进驻园区审批大厅，企业开办时间压缩至0.5个工作日；按“一园区一清单”承接市级赋权，建筑工程施工许可、雷电防护装置竣工验收等57项市级事项可在园区办理。三是选派服务专员全覆盖。园区选派92名企业服务专员、37名项目服务专员，对重点企业和在建项目实行全覆盖，如针对本土企业首单出口，专项小组“一对一”跟踪报关核验、物流匹配、退税辅导。四是推行极简审批。工程项目实行极简审批、容缺办理、分栋验收、“预验即试产”，从签约到试产全周期有人代、有人盯。五是搭建“一码通”数字平台。企业扫码提诉求、查进度，专员线上接单、线下办结；审批材料一次采集、多环节复用，权籍调查和用地审批成果直接用于登记与报建，避免重复测绘补件，推动园区从“摆窗口”向“真放权”转变。</w:t>
      </w:r>
    </w:p>
    <w:p>
      <w:pPr>
        <w:spacing w:lineRule="exact" w:line="560"/>
      </w:pPr>
      <w:r>
        <w:rPr>
          <w:rFonts w:ascii="仿宋_GB2312" w:hAnsi="仿宋_GB2312" w:eastAsia="仿宋_GB2312"/>
          <w:b w:val="0"/>
          <w:sz w:val="32"/>
        </w:rPr>
        <w:t>（信息来源：湖南日报10月12日《拿地即发证 开工不用等》  https://epaper.voc.com.cn/hnrb/html/2026-10/12/content_1803657.htm?div=-1）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