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560" w:lineRule="exact" w:after="240"/>
        <w:jc w:val="center"/>
      </w:pPr>
      <w:r>
        <w:rPr>
          <w:rFonts w:ascii="黑体" w:hAnsi="黑体" w:eastAsia="黑体"/>
          <w:b/>
          <w:sz w:val="32"/>
        </w:rPr>
        <w:t>媒体信息摘报</w:t>
      </w:r>
    </w:p>
    <w:p>
      <w:pPr>
        <w:spacing w:line="560" w:lineRule="exact" w:after="240"/>
        <w:jc w:val="center"/>
      </w:pPr>
      <w:r>
        <w:rPr>
          <w:rFonts w:ascii="黑体" w:hAnsi="黑体" w:eastAsia="黑体"/>
          <w:b/>
          <w:sz w:val="32"/>
        </w:rPr>
        <w:t>（2026年10月8日）</w:t>
      </w:r>
    </w:p>
    <w:p>
      <w:pPr>
        <w:spacing w:line="560" w:lineRule="exact" w:before="200" w:after="120"/>
      </w:pPr>
      <w:r>
        <w:rPr>
          <w:rFonts w:ascii="黑体" w:hAnsi="黑体" w:eastAsia="黑体"/>
          <w:b/>
          <w:sz w:val="32"/>
        </w:rPr>
        <w:t>一、在这里，"土特产"做成大产业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江苏推动乡村土特产向全产业链延伸，以电商、科技、链式协同三条路径把"土特产"做成富民产业。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一是电商打通出村通道。连云港赣榆海头镇发展海鲜直播，活跃直播账号6000余个、主播3000余人，日均发货20万单，线上年交易额突破100亿元；布局重庆、乌鲁木齐、太原三大海鲜前置仓，使乌鲁木齐成为进入中亚市场的枢纽。沭阳周圈村1200余户从事盆景苗木，800余人搞直播销售，从"卖单品"转向"卖场景、卖设计、卖服务"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二是科技重塑产业根基。盱眙攻克种业"芯片"，"盱眙1号"2024年通过国家审定，为全国首个国家级小龙虾新品种，50天养殖重量提高18%以上；龙虾超级工厂占地369亩、总投资约12.5亿元，液氮锁鲜使保鲜期延至18个月，全面投产后预计年产龙虾制品10万吨、调料5万吨。赣榆三文鱼AI数码渔桶水体循环利用率突破97%，实时监测12项水质指标，实现"一人管一车间"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三是链式共生壮大集群。睢宁沙集电商家居2025年网络零售额达200亿元，构建研发设计、生产制造、网络销售、物流仓储、配套服务完整产业链；淮海公路港日处理货量约3200吨、连通全国80个主要城市，降低运输成本超15%；落地9610、9710、9810三类跨境电商出口模式，2025年跨境出口量、出口额分别增长60%、44%。同步打造"苏农优品"省域公用品牌矩阵。</w:t>
      </w:r>
    </w:p>
    <w:p>
      <w:pPr>
        <w:spacing w:line="560" w:lineRule="exact" w:before="80" w:after="200"/>
      </w:pPr>
      <w:r>
        <w:rPr>
          <w:rFonts w:ascii="仿宋_GB2312" w:hAnsi="仿宋_GB2312" w:eastAsia="仿宋_GB2312"/>
          <w:b w:val="0"/>
          <w:sz w:val="32"/>
        </w:rPr>
        <w:t>（信息来源：新华日报10月8日《在这里，"土特产"做成大产业》  https://finance.sina.com.cn/jjxw/2026-10-08/doc-iniumytv4164260.shtml）</w:t>
      </w:r>
    </w:p>
    <w:p>
      <w:pPr>
        <w:spacing w:line="560" w:lineRule="exact" w:before="200" w:after="120"/>
      </w:pPr>
      <w:r>
        <w:rPr>
          <w:rFonts w:ascii="黑体" w:hAnsi="黑体" w:eastAsia="黑体"/>
          <w:b/>
          <w:sz w:val="32"/>
        </w:rPr>
        <w:t>二、武汉市出台推进科技创新和产业创新深度融合系列措施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武汉市以"1个总体通知+6个专项措施"体系，自2026年10月8日起施行，围绕成果转化、人才、数据、AI新赛道、科创金融、应用场景六大维度精准施策。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一是建设中试平台体系。聚焦"965"现代化产业体系布局中试平台、组建产业领域中试联合体；首年安排2000万元"拨改投"资金，引导设立不低于5000万元市级中试基金；中试项目产业用地弹性年期出让最长20年，探索"沙盒监管""触发式监管"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二是建强技术经理人队伍。支持高校设技术转移微专业、申报硕士点；将技术经理人纳入"武汉英才"计划；对服务机构按绩效给予每年最高300万元专项奖励（个人比例不低于50%）；为成果转化项目配备技术经理人全程陪跑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三是支持高质量数据集建设。按项目实际研发投入给予最高200万元奖励；数据标注企业最高50万元奖励；推行"首席数据官"制度，探索发放算力券降低治数用数成本。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四是支持智能体与智能终端。研发应用最高300万元算力支持，终端创新最高100万元，组建"模数共振"创新联合体最高500万元；企业"人工智能+技改"最高1000万元奖励；孵化创业团队项目最高500万元股权投资。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五是壮大科创金融与开放场景。到2028年力争注册基金1500支以上、规模3000亿元，种子及天使基金直投允许100%亏损；每年开放场景机会、发布场景能力各不少于500个，举办场景对接活动不少于100场，标志性应用场景最高500万元配套。</w:t>
      </w:r>
    </w:p>
    <w:p>
      <w:pPr>
        <w:spacing w:line="560" w:lineRule="exact" w:before="80" w:after="200"/>
      </w:pPr>
      <w:r>
        <w:rPr>
          <w:rFonts w:ascii="仿宋_GB2312" w:hAnsi="仿宋_GB2312" w:eastAsia="仿宋_GB2312"/>
          <w:b w:val="0"/>
          <w:sz w:val="32"/>
        </w:rPr>
        <w:t>（信息来源：湖北日报10月8日《武汉市出台推进科技创新和产业创新深度融合系列措施》  https://news.hubeidaily.net/pc/c_5953702.html）</w:t>
      </w:r>
    </w:p>
    <w:p>
      <w:pPr>
        <w:spacing w:line="560" w:lineRule="exact" w:before="200" w:after="120"/>
      </w:pPr>
      <w:r>
        <w:rPr>
          <w:rFonts w:ascii="黑体" w:hAnsi="黑体" w:eastAsia="黑体"/>
          <w:b/>
          <w:sz w:val="32"/>
        </w:rPr>
        <w:t>三、制造"湘"当潮丨握牢创新主动权 让成果落地生花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湖南沿"技术攻关、企业主导、成果转化"路径增强先进制造业动力，具体举措如下。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一是实施十大技术攻关项目。连续6年深耕，累计突破216项原创性、引领性关键技术，斩获60项国内外"首字""最字"成果；2026年布局跨域混算关键技术、"非圆"岩石隧道全断面智能掘进装备等攻关，服务生物医药、水电、矿山等重大需求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二是强化企业创新主体地位。出台"企业服务年""科创益企"十条措施，明确企业牵头研发攻关类项目占比不低于50%，年度研发投入增量最高可获1000万元补助。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三是错位发展智能机器人。推行"先专用后通用"，优先发展工程机械、矿山等领域专用机器人，再向通用智能机器人迈进；长沙聚焦本体和算法，株洲、湘潭、衡阳发展电机电控和精密关节，岳阳主攻伺服电机，娄底做强精密铸锻零部件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四是打通成果转化链条。出台"加快高校成果转化二十条"，单设技术经纪专业职称；布局10家概念验证中心、总投入3000万元，建设55家省级中试基地；组建近百人技术经理人队伍，转化合同总金额超9亿元。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五是"揭榜挂帅"攻坚民生产业。针对烟花爆竹安全与环保难题，通过重大科技攻关"揭榜挂帅"加快形成可复制、可推广的新型烟花产品、工艺与生产装备，已研制氟聚物基新火药，告别刺鼻硫磺味与漫天烟尘。</w:t>
      </w:r>
    </w:p>
    <w:p>
      <w:pPr>
        <w:spacing w:line="560" w:lineRule="exact" w:before="80" w:after="200"/>
      </w:pPr>
      <w:r>
        <w:rPr>
          <w:rFonts w:ascii="仿宋_GB2312" w:hAnsi="仿宋_GB2312" w:eastAsia="仿宋_GB2312"/>
          <w:b w:val="0"/>
          <w:sz w:val="32"/>
        </w:rPr>
        <w:t>（信息来源：湖南日报10月8日《制造"湘"当潮丨握牢创新主动权 让成果落地生花》  https://www.toutiao.com/article/7694071516916384302/）</w:t>
      </w:r>
    </w:p>
    <w:p>
      <w:pPr>
        <w:spacing w:line="560" w:lineRule="exact" w:before="200" w:after="120"/>
      </w:pPr>
      <w:r>
        <w:rPr>
          <w:rFonts w:ascii="黑体" w:hAnsi="黑体" w:eastAsia="黑体"/>
          <w:b/>
          <w:sz w:val="32"/>
        </w:rPr>
        <w:t>四、国庆假期全省线下消费2.5亿笔近870亿元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四川以第五届中国（四川）国际熊猫消费节为总牵引，推出上千场促消费活动，具体举措如下。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一是构建"1316N"活动框架。开展"乐享天府"服务消费季、"票根惠民"、"优品拓展·城乡扩需"三大主题活动，联动成渝双城消费促进活动暨金秋消费季等16个标志性IP活动。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二是丰富商圈与沉浸式场景。成都万象城推出"比奇堡假日"主题展及超200款周边；宜宾打造"日间沉浸式体验+夜间光影夜游"；成都市11个重点商圈假期营收超29亿元，215条特色商业街营收超58亿元。绵阳开展《登陆月球》主题展、航天科普嘉年华；眉山三苏祠上线MR沉浸式项目、启用智能讲解机器人"苏小芯"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三是打好政策"组合拳"。投放"乐享天府"服务消费季餐饮消费券，"票根惠民"活动吸引超3000家商户、游客上传票根超1万张；创新票根经济链条，游客凭机票、高铁票、景区门票享餐饮住宿等折扣，打通"交通引流—景区留客—消费增值"全链条；泸州发16万份"泸州有礼"大礼包，雅安推"1分钱坐高铁"等29项文旅商贸优惠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四是以旧换新扩围加码。国庆首日启动自主品类补贴，新增10类、最高补贴1500元，假期申请42.8万件；智能吸油烟机、清洁机器人、净水器、洗碗机最为畅销。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五是建设消费新场景。全省160个"蜀里安逸"消费新场景假期拉动消费超220亿元；智能穿戴设备销售额同比增超1倍，有机食品增超20%，户外运动装备增超35%。</w:t>
      </w:r>
    </w:p>
    <w:p>
      <w:pPr>
        <w:spacing w:line="560" w:lineRule="exact" w:before="80" w:after="200"/>
      </w:pPr>
      <w:r>
        <w:rPr>
          <w:rFonts w:ascii="仿宋_GB2312" w:hAnsi="仿宋_GB2312" w:eastAsia="仿宋_GB2312"/>
          <w:b w:val="0"/>
          <w:sz w:val="32"/>
        </w:rPr>
        <w:t>（信息来源：四川日报10月8日《国庆假期全省线下消费2.5亿笔近870亿元》  https://epaper.scdaily.cn/shtml/scrb/20261008/1091270.html）</w:t>
      </w:r>
    </w:p>
    <w:p>
      <w:pPr>
        <w:spacing w:line="560" w:lineRule="exact" w:before="200" w:after="120"/>
      </w:pPr>
      <w:r>
        <w:rPr>
          <w:rFonts w:ascii="黑体" w:hAnsi="黑体" w:eastAsia="黑体"/>
          <w:b/>
          <w:sz w:val="32"/>
        </w:rPr>
        <w:t>五、接住假日流量 延长消费链条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贵州以文旅体融合接住假日流量、延伸消费链条，具体举措如下。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一是做大"村字号"赛事经济。举办"贵州村马"第四届端节全国赛马邀请赛（三都，5万座）、"村超"第三届国际足球赛（榕江，36国参赛）、"村BA"球王争霸赛全国总决赛（台盘）；省体育局假期发布体育赛事活动73项，免费或低收费开放体育场馆162个，推进"体育+旅游+文化"融合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二是创新文化体验场景。毕节奢香古镇"大地指纹"音乐会万人合唱；贵阳青岩古镇发放身份牌与汉服、答题闯关沉浸式演绎；铜仁中南门古城将梵净山非遗戏剧季搬进古建院落、移步换景；贵州长征文化数字艺术馆（红飘带）每日演出10场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三是补齐夜间与全时业态。黄果树景区推出《夜瀑山河绣》夜游（19:00至22:30）；剑河仰阿莎温泉小镇"秋收游园会·国庆奇妙夜"夜间游客占全天四成以上；六盘水推出"雨天不扫兴"室内空间攻略，引导游客走进博物馆、美术馆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四是全域联动供给。省文旅厅推出726项文旅活动、16条精品线路，覆盖红色研学、民俗风情、旅居康养、山地户外等七大场景；同步发放多彩贵州文旅消费券（"一码游贵州"平台），开展"多彩贵州欢乐购"；今年以来"票根经济"累计发券115.46万张，串联景区、餐饮、住宿、商超等业态。</w:t>
      </w:r>
    </w:p>
    <w:p>
      <w:pPr>
        <w:spacing w:line="560" w:lineRule="exact" w:before="80" w:after="200"/>
      </w:pPr>
      <w:r>
        <w:rPr>
          <w:rFonts w:ascii="仿宋_GB2312" w:hAnsi="仿宋_GB2312" w:eastAsia="仿宋_GB2312"/>
          <w:b w:val="0"/>
          <w:sz w:val="32"/>
        </w:rPr>
        <w:t>（信息来源：贵州日报10月8日《接住假日流量 延长消费链条》  https://szb.eyesnews.cn/pc/cont/202610/08/content_189900.html）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仿宋_GB2312" w:hAnsi="仿宋_GB2312" w:eastAsia="仿宋_GB2312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