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after="240" w:before="0"/>
        <w:ind w:firstLine="0"/>
        <w:jc w:val="center"/>
      </w:pPr>
      <w:r>
        <w:rPr>
          <w:rFonts w:ascii="黑体" w:hAnsi="黑体" w:eastAsia="黑体"/>
          <w:b/>
          <w:sz w:val="32"/>
        </w:rPr>
        <w:t>10月14日媒体信息摘报</w:t>
      </w:r>
    </w:p>
    <w:p>
      <w:pPr>
        <w:spacing w:lineRule="exact" w:line="560" w:after="80" w:before="0"/>
        <w:ind w:firstLine="0"/>
      </w:pPr>
      <w:r>
        <w:rPr>
          <w:rFonts w:ascii="黑体" w:hAnsi="黑体" w:eastAsia="黑体"/>
          <w:b/>
          <w:sz w:val="32"/>
        </w:rPr>
        <w:t>1．山东锚定“人工智能+制造”主赛道 以垂直大模型“专而精”推动产业落地</w:t>
      </w:r>
    </w:p>
    <w:p>
      <w:pPr>
        <w:spacing w:lineRule="exact" w:line="560" w:after="120" w:before="0"/>
        <w:ind w:firstLine="480"/>
      </w:pPr>
      <w:r>
        <w:rPr>
          <w:rFonts w:ascii="仿宋_GB2312" w:hAnsi="仿宋_GB2312" w:eastAsia="仿宋_GB2312"/>
          <w:b w:val="0"/>
          <w:sz w:val="32"/>
        </w:rPr>
        <w:t>山东省立足工业门类齐全比较优势，锚定“人工智能+制造”主赛道，走垂直领域大模型“专而精”发展路线，以清单化治理推动AI深度嵌入产业腹地。</w:t>
      </w:r>
      <w:r>
        <w:br/>
      </w:r>
      <w:r>
        <w:rPr>
          <w:rFonts w:ascii="仿宋_GB2312" w:hAnsi="仿宋_GB2312" w:eastAsia="仿宋_GB2312"/>
          <w:b w:val="0"/>
          <w:sz w:val="32"/>
        </w:rPr>
        <w:t>一是发布“双百清单”明确主攻方向。今年7月公布首批100个重点建设“AI+制造”应用场景和100个重点推广垂直领域大模型名单，从面向16市征集的千余个选项中筛出，聚焦行业痛点与企业转型诉求，具备跨企业推广价值。</w:t>
      </w:r>
      <w:r>
        <w:br/>
      </w:r>
      <w:r>
        <w:rPr>
          <w:rFonts w:ascii="仿宋_GB2312" w:hAnsi="仿宋_GB2312" w:eastAsia="仿宋_GB2312"/>
          <w:b w:val="0"/>
          <w:sz w:val="32"/>
        </w:rPr>
        <w:t>二是省级财政资金精准滴灌。省财政三年统筹引导超100亿元投向人工智能赋能制造业领域，设立“模型券”支持垂直领域大模型研发、“场景券”支持智能制造标杆项目落地，改变“撒胡椒面”式扶持。</w:t>
      </w:r>
      <w:r>
        <w:br/>
      </w:r>
      <w:r>
        <w:rPr>
          <w:rFonts w:ascii="仿宋_GB2312" w:hAnsi="仿宋_GB2312" w:eastAsia="仿宋_GB2312"/>
          <w:b w:val="0"/>
          <w:sz w:val="32"/>
        </w:rPr>
        <w:t>三是建立“揭榜挂帅+赛马”机制。摸排19条标志性产业链，梳理六大生产环节、18类高价值工业场景对外发布需求清单，允许多家团队、多条技术路线并行进场、同一场景方案PK，按落地成效分档奖补，优胜留存、落后者退出。</w:t>
      </w:r>
      <w:r>
        <w:br/>
      </w:r>
      <w:r>
        <w:rPr>
          <w:rFonts w:ascii="仿宋_GB2312" w:hAnsi="仿宋_GB2312" w:eastAsia="仿宋_GB2312"/>
          <w:b w:val="0"/>
          <w:sz w:val="32"/>
        </w:rPr>
        <w:t>四是构建公共底座与生态协同。依托工信部智算云服务试点、国家人工智能应用中试基地等高能级平台，整合算力供给、数据治理、模型训练、安全管理于一体的创新服务体系；截至今年9月已产生122个工业大模型，实现41个工业大类全覆盖，建成产业大脑130个、晨星工厂5657家。</w:t>
      </w:r>
    </w:p>
    <w:p>
      <w:pPr>
        <w:spacing w:lineRule="exact" w:line="560" w:after="0" w:before="0"/>
        <w:ind w:firstLine="0"/>
      </w:pPr>
      <w:r>
        <w:rPr>
          <w:rFonts w:ascii="仿宋_GB2312" w:hAnsi="仿宋_GB2312" w:eastAsia="仿宋_GB2312"/>
          <w:b w:val="0"/>
          <w:sz w:val="32"/>
        </w:rPr>
        <w:t>（信息来源：大众日报 2026年10月14日）</w:t>
      </w:r>
    </w:p>
    <w:p>
      <w:pPr>
        <w:spacing w:lineRule="exact" w:line="560" w:after="0" w:before="0"/>
        <w:ind w:firstLine="0"/>
      </w:pPr>
      <w:r>
        <w:rPr>
          <w:rFonts w:ascii="仿宋_GB2312" w:hAnsi="仿宋_GB2312" w:eastAsia="仿宋_GB2312"/>
          <w:b w:val="0"/>
          <w:sz w:val="32"/>
        </w:rPr>
        <w:t>原文标题及链接：不追“通用”风口，山东大模型为何一头扎进矿井和码头？</w:t>
      </w:r>
    </w:p>
    <w:p>
      <w:pPr>
        <w:spacing w:lineRule="exact" w:line="560" w:after="200" w:before="0"/>
        <w:ind w:firstLine="0"/>
      </w:pPr>
      <w:hyperlink r:id="rId9">
        <w:r>
          <w:rPr>
            <w:rStyle w:val="Hyperlink"/>
            <w:rFonts w:eastAsia="仿宋_GB2312" w:ascii="仿宋_GB2312" w:hAnsi="仿宋_GB2312"/>
            <w:sz w:val="32"/>
            <w:szCs w:val="32"/>
            <w:color w:val="0563C1"/>
          </w:rPr>
          <w:t xml:space="preserve">https://www.toutiao.com/article/7696298020459135488/</w:t>
        </w:r>
      </w:hyperlink>
    </w:p>
    <w:p>
      <w:pPr>
        <w:spacing w:lineRule="exact" w:line="560" w:after="80" w:before="0"/>
        <w:ind w:firstLine="0"/>
      </w:pPr>
      <w:r>
        <w:rPr>
          <w:rFonts w:ascii="黑体" w:hAnsi="黑体" w:eastAsia="黑体"/>
          <w:b/>
          <w:sz w:val="32"/>
        </w:rPr>
        <w:t>2．浙江台州以数智技术赋能传统缝制设备 探索“老树发新芽”升级路径</w:t>
      </w:r>
    </w:p>
    <w:p>
      <w:pPr>
        <w:spacing w:lineRule="exact" w:line="560" w:after="120" w:before="0"/>
        <w:ind w:firstLine="480"/>
      </w:pPr>
      <w:r>
        <w:rPr>
          <w:rFonts w:ascii="仿宋_GB2312" w:hAnsi="仿宋_GB2312" w:eastAsia="仿宋_GB2312"/>
          <w:b w:val="0"/>
          <w:sz w:val="32"/>
        </w:rPr>
        <w:t>浙江台州作为“中国缝制设备制造之都”，将前沿技术融入传统产线，探索传统产业数智焕新、集群出海的升级路径，印证新质生产力可在传统产业沃土中生根。</w:t>
      </w:r>
      <w:r>
        <w:br/>
      </w:r>
      <w:r>
        <w:rPr>
          <w:rFonts w:ascii="仿宋_GB2312" w:hAnsi="仿宋_GB2312" w:eastAsia="仿宋_GB2312"/>
          <w:b w:val="0"/>
          <w:sz w:val="32"/>
        </w:rPr>
        <w:t>一是智能装备重塑产品竞争力。当地企业自研芯片自动识别面料厚薄，搭载AI视觉系统精准捕捉手势，人形机器人独立完成均匀走线，“快反王”设备使工作效率提升30%，推动缝纫机从“铁疙瘩”升级为“智能终端”，相关报道经央视播出后冲上热搜。</w:t>
      </w:r>
      <w:r>
        <w:br/>
      </w:r>
      <w:r>
        <w:rPr>
          <w:rFonts w:ascii="仿宋_GB2312" w:hAnsi="仿宋_GB2312" w:eastAsia="仿宋_GB2312"/>
          <w:b w:val="0"/>
          <w:sz w:val="32"/>
        </w:rPr>
        <w:t>二是全产业链协同构筑集群优势。台州聚集1500多家缝制装备相关企业，覆盖整机、零部件到数字化系统，形成完整产业生态，从卖产品转向卖解决方案、从输出硬件转向打包软件，通过强链补链延链激活“集群出海”新动能。</w:t>
      </w:r>
      <w:r>
        <w:br/>
      </w:r>
      <w:r>
        <w:rPr>
          <w:rFonts w:ascii="仿宋_GB2312" w:hAnsi="仿宋_GB2312" w:eastAsia="仿宋_GB2312"/>
          <w:b w:val="0"/>
          <w:sz w:val="32"/>
        </w:rPr>
        <w:t>三是坚持融合式“向新而行”导向。当地摒弃断裂式“弃旧图新”，将技术“揉”进传统产线，证明传统产业是新质生产力的土壤而非“绝缘体”，以“技术—场景”双向匹配锻造不可替代的竞争优势。</w:t>
      </w:r>
      <w:r>
        <w:br/>
      </w:r>
      <w:r>
        <w:rPr>
          <w:rFonts w:ascii="仿宋_GB2312" w:hAnsi="仿宋_GB2312" w:eastAsia="仿宋_GB2312"/>
          <w:b w:val="0"/>
          <w:sz w:val="32"/>
        </w:rPr>
        <w:t>台州每年近400万台缝制设备销往100多个国家和地区；2026年上半年中国缝制机械产品累计出口额20.53亿美元，同比增长2.69%。台州缝制设备产业从“夕阳产业”标签中突围，依托数智赋能与集群协同，为中国传统制造业转型升级提供鲜活样本，相关做法具备较强可复制性。</w:t>
      </w:r>
    </w:p>
    <w:p>
      <w:pPr>
        <w:spacing w:lineRule="exact" w:line="560" w:after="0" w:before="0"/>
        <w:ind w:firstLine="0"/>
      </w:pPr>
      <w:r>
        <w:rPr>
          <w:rFonts w:ascii="仿宋_GB2312" w:hAnsi="仿宋_GB2312" w:eastAsia="仿宋_GB2312"/>
          <w:b w:val="0"/>
          <w:sz w:val="32"/>
        </w:rPr>
        <w:t>（信息来源：浙江日报 2026年10月14日）</w:t>
      </w:r>
    </w:p>
    <w:p>
      <w:pPr>
        <w:spacing w:lineRule="exact" w:line="560" w:after="0" w:before="0"/>
        <w:ind w:firstLine="0"/>
      </w:pPr>
      <w:r>
        <w:rPr>
          <w:rFonts w:ascii="仿宋_GB2312" w:hAnsi="仿宋_GB2312" w:eastAsia="仿宋_GB2312"/>
          <w:b w:val="0"/>
          <w:sz w:val="32"/>
        </w:rPr>
        <w:t>原文标题及链接：把新技术“缝”进传统产业中</w:t>
      </w:r>
    </w:p>
    <w:p>
      <w:pPr>
        <w:spacing w:lineRule="exact" w:line="560" w:after="200" w:before="0"/>
        <w:ind w:firstLine="0"/>
      </w:pPr>
      <w:hyperlink r:id="rId10">
        <w:r>
          <w:rPr>
            <w:rStyle w:val="Hyperlink"/>
            <w:rFonts w:eastAsia="仿宋_GB2312" w:ascii="仿宋_GB2312" w:hAnsi="仿宋_GB2312"/>
            <w:sz w:val="32"/>
            <w:szCs w:val="32"/>
            <w:color w:val="0563C1"/>
          </w:rPr>
          <w:t xml:space="preserve">https://www.toutiao.com/article/7696297626832011839/</w:t>
        </w:r>
      </w:hyperlink>
    </w:p>
    <w:p>
      <w:pPr>
        <w:spacing w:lineRule="exact" w:line="560" w:after="80" w:before="0"/>
        <w:ind w:firstLine="0"/>
      </w:pPr>
      <w:r>
        <w:rPr>
          <w:rFonts w:ascii="黑体" w:hAnsi="黑体" w:eastAsia="黑体"/>
          <w:b/>
          <w:sz w:val="32"/>
        </w:rPr>
        <w:t>3．江苏发挥“一带一路”交汇点优势 推动企业从“产品出海”向“全链出海”跃升</w:t>
      </w:r>
    </w:p>
    <w:p>
      <w:pPr>
        <w:spacing w:lineRule="exact" w:line="560" w:after="120" w:before="0"/>
        <w:ind w:firstLine="480"/>
      </w:pPr>
      <w:r>
        <w:rPr>
          <w:rFonts w:ascii="仿宋_GB2312" w:hAnsi="仿宋_GB2312" w:eastAsia="仿宋_GB2312"/>
          <w:b w:val="0"/>
          <w:sz w:val="32"/>
        </w:rPr>
        <w:t>江苏发挥“一带一路”交汇点优势，在贸易往来、产能合作、综合服务三个维度持续深耕，推动开放型经济从“产品出海”向“品牌出海”“全链出海”跃升。</w:t>
      </w:r>
      <w:r>
        <w:br/>
      </w:r>
      <w:r>
        <w:rPr>
          <w:rFonts w:ascii="仿宋_GB2312" w:hAnsi="仿宋_GB2312" w:eastAsia="仿宋_GB2312"/>
          <w:b w:val="0"/>
          <w:sz w:val="32"/>
        </w:rPr>
        <w:t>一是搭建双向贸易平台畅通渠道。落地中国—中亚贸易畅通合作平台，设立江苏中亚中心与中亚江苏中心，组织“江苏优品行全球”“江苏品牌产品丝路行”等贸易促进活动，支持企业触网升级、用好跨境电商开拓国际市场。</w:t>
      </w:r>
      <w:r>
        <w:br/>
      </w:r>
      <w:r>
        <w:rPr>
          <w:rFonts w:ascii="仿宋_GB2312" w:hAnsi="仿宋_GB2312" w:eastAsia="仿宋_GB2312"/>
          <w:b w:val="0"/>
          <w:sz w:val="32"/>
        </w:rPr>
        <w:t>二是推动产能合作从单点向链条输出。建设中阿（联酋）产能合作示范园、苏锡常国际产能合作示范城市，莱赛尔纤维项目规划总投资110亿元、二期单线产能7.5万吨刷新世界纪录；徐工集团在共建国家设立研发中心与产品经理队伍，实现从销售产品到产业链、供应链、价值链整体输出。</w:t>
      </w:r>
      <w:r>
        <w:br/>
      </w:r>
      <w:r>
        <w:rPr>
          <w:rFonts w:ascii="仿宋_GB2312" w:hAnsi="仿宋_GB2312" w:eastAsia="仿宋_GB2312"/>
          <w:b w:val="0"/>
          <w:sz w:val="32"/>
        </w:rPr>
        <w:t>三是政策服务从“企业找政策”转向“政策找企业”。出台外贸稳增长22条、稳外贸稳就业12条、稳外资22条，在全国率先编制《企业内外贸一体化标准衔接指南》；建立政企月度对接机制与“全程相伴”江苏走出去综合服务平台，提供项目备案、法律咨询、风险预警等线上服务，政策性出口信保“十四五”以来支持对共建国家出口投资2000多亿美元。</w:t>
      </w:r>
      <w:r>
        <w:br/>
      </w:r>
      <w:r>
        <w:rPr>
          <w:rFonts w:ascii="仿宋_GB2312" w:hAnsi="仿宋_GB2312" w:eastAsia="仿宋_GB2312"/>
          <w:b w:val="0"/>
          <w:sz w:val="32"/>
        </w:rPr>
        <w:t>今年前7个月，江苏对共建“一带一路”国家进出口2.22万亿元，增长35.2%，占全省进出口比重提升至53.2%。</w:t>
      </w:r>
    </w:p>
    <w:p>
      <w:pPr>
        <w:spacing w:lineRule="exact" w:line="560" w:after="0" w:before="0"/>
        <w:ind w:firstLine="0"/>
      </w:pPr>
      <w:r>
        <w:rPr>
          <w:rFonts w:ascii="仿宋_GB2312" w:hAnsi="仿宋_GB2312" w:eastAsia="仿宋_GB2312"/>
          <w:b w:val="0"/>
          <w:sz w:val="32"/>
        </w:rPr>
        <w:t>（信息来源：新华日报 2026年10月14日）</w:t>
      </w:r>
    </w:p>
    <w:p>
      <w:pPr>
        <w:spacing w:lineRule="exact" w:line="560" w:after="0" w:before="0"/>
        <w:ind w:firstLine="0"/>
      </w:pPr>
      <w:r>
        <w:rPr>
          <w:rFonts w:ascii="仿宋_GB2312" w:hAnsi="仿宋_GB2312" w:eastAsia="仿宋_GB2312"/>
          <w:b w:val="0"/>
          <w:sz w:val="32"/>
        </w:rPr>
        <w:t>原文标题及链接：苏企全球化新叙事：单点突破到全链出海</w:t>
      </w:r>
    </w:p>
    <w:p>
      <w:pPr>
        <w:spacing w:lineRule="exact" w:line="560" w:after="200" w:before="0"/>
        <w:ind w:firstLine="0"/>
      </w:pPr>
      <w:hyperlink r:id="rId11">
        <w:r>
          <w:rPr>
            <w:rStyle w:val="Hyperlink"/>
            <w:rFonts w:eastAsia="仿宋_GB2312" w:ascii="仿宋_GB2312" w:hAnsi="仿宋_GB2312"/>
            <w:sz w:val="32"/>
            <w:szCs w:val="32"/>
            <w:color w:val="0563C1"/>
          </w:rPr>
          <w:t xml:space="preserve">https://xh.xhby.net/pc/con/202610/14/content_1596932.html</w:t>
        </w:r>
      </w:hyperlink>
    </w:p>
    <w:p>
      <w:pPr>
        <w:spacing w:lineRule="exact" w:line="560" w:after="80" w:before="0"/>
        <w:ind w:firstLine="0"/>
      </w:pPr>
      <w:r>
        <w:rPr>
          <w:rFonts w:ascii="黑体" w:hAnsi="黑体" w:eastAsia="黑体"/>
          <w:b/>
          <w:sz w:val="32"/>
        </w:rPr>
        <w:t>4．陕西“专精特新”专板咸阳专区上线 探索资本市场服务下沉新模式</w:t>
      </w:r>
    </w:p>
    <w:p>
      <w:pPr>
        <w:spacing w:lineRule="exact" w:line="560" w:after="120" w:before="0"/>
        <w:ind w:firstLine="480"/>
      </w:pPr>
      <w:r>
        <w:rPr>
          <w:rFonts w:ascii="仿宋_GB2312" w:hAnsi="仿宋_GB2312" w:eastAsia="仿宋_GB2312"/>
          <w:b w:val="0"/>
          <w:sz w:val="32"/>
        </w:rPr>
        <w:t>陕西“专精特新”专板咸阳专区近日上线，系全省首个地市专属专区，创新探索资本市场服务下沉、精准赋能地市产业发展的新模式。</w:t>
      </w:r>
      <w:r>
        <w:br/>
      </w:r>
      <w:r>
        <w:rPr>
          <w:rFonts w:ascii="仿宋_GB2312" w:hAnsi="仿宋_GB2312" w:eastAsia="仿宋_GB2312"/>
          <w:b w:val="0"/>
          <w:sz w:val="32"/>
        </w:rPr>
        <w:t>一是明确平台核心功能定位。专板是资本市场梯度培育中小企业专精特新发展的重要平台，由陕西股权交易中心建设运营，确立“政策汇聚、资本对接、规范培育、上市孵化”四大核心功能，让区域内企业“足不出户”即可获得高水平、全方位的上市孵化培育。去年陕西“专精特新”专板开板，咸阳专区作为首个下沉地市专区，承接并延伸其政策汇聚、资本对接等核心功能。</w:t>
      </w:r>
      <w:r>
        <w:br/>
      </w:r>
      <w:r>
        <w:rPr>
          <w:rFonts w:ascii="仿宋_GB2312" w:hAnsi="仿宋_GB2312" w:eastAsia="仿宋_GB2312"/>
          <w:b w:val="0"/>
          <w:sz w:val="32"/>
        </w:rPr>
        <w:t>二是实现资本市场服务属地化下沉。咸阳专区由咸阳市工信局、金融协调服务中心主办，陕西股权交易中心、民生银行咸阳分行承办，打通融资与规范培育“最后一公里”，使专精特新企业就近对接资本市场。</w:t>
      </w:r>
      <w:r>
        <w:br/>
      </w:r>
      <w:r>
        <w:rPr>
          <w:rFonts w:ascii="仿宋_GB2312" w:hAnsi="仿宋_GB2312" w:eastAsia="仿宋_GB2312"/>
          <w:b w:val="0"/>
          <w:sz w:val="32"/>
        </w:rPr>
        <w:t>三是形成可复制的分层服务体系。省工信厅介绍，该专区创新探索资本市场服务下沉、精准赋能地市产业发展新模式，为各市搭建属地化企业培育平台、完善分层服务体系发挥示范引领作用，助力咸阳市深化国家产融合作试点城市建设，服务“十五五”工业经济高质量发展。</w:t>
      </w:r>
      <w:r>
        <w:br/>
      </w:r>
      <w:r>
        <w:rPr>
          <w:rFonts w:ascii="仿宋_GB2312" w:hAnsi="仿宋_GB2312" w:eastAsia="仿宋_GB2312"/>
          <w:b w:val="0"/>
          <w:sz w:val="32"/>
        </w:rPr>
        <w:t>咸阳专区于10月10日举办上线暨企业挂牌仪式；陕西股权交易中心为省内唯一合法的区域性股权市场运营机构，为专板规范运行提供坚实保障。</w:t>
      </w:r>
    </w:p>
    <w:p>
      <w:pPr>
        <w:spacing w:lineRule="exact" w:line="560" w:after="0" w:before="0"/>
        <w:ind w:firstLine="0"/>
      </w:pPr>
      <w:r>
        <w:rPr>
          <w:rFonts w:ascii="仿宋_GB2312" w:hAnsi="仿宋_GB2312" w:eastAsia="仿宋_GB2312"/>
          <w:b w:val="0"/>
          <w:sz w:val="32"/>
        </w:rPr>
        <w:t>（信息来源：陕西日报 2026年10月14日）</w:t>
      </w:r>
    </w:p>
    <w:p>
      <w:pPr>
        <w:spacing w:lineRule="exact" w:line="560" w:after="0" w:before="0"/>
        <w:ind w:firstLine="0"/>
      </w:pPr>
      <w:r>
        <w:rPr>
          <w:rFonts w:ascii="仿宋_GB2312" w:hAnsi="仿宋_GB2312" w:eastAsia="仿宋_GB2312"/>
          <w:b w:val="0"/>
          <w:sz w:val="32"/>
        </w:rPr>
        <w:t>原文标题及链接：陕西“专精特新”专板咸阳专区上线</w:t>
      </w:r>
    </w:p>
    <w:p>
      <w:pPr>
        <w:spacing w:lineRule="exact" w:line="560" w:after="200" w:before="0"/>
        <w:ind w:firstLine="0"/>
      </w:pPr>
      <w:hyperlink r:id="rId12">
        <w:r>
          <w:rPr>
            <w:rStyle w:val="Hyperlink"/>
            <w:rFonts w:eastAsia="仿宋_GB2312" w:ascii="仿宋_GB2312" w:hAnsi="仿宋_GB2312"/>
            <w:sz w:val="32"/>
            <w:szCs w:val="32"/>
            <w:color w:val="0563C1"/>
          </w:rPr>
          <w:t xml:space="preserve">https://k.sina.com.cn/article_7517400647_1c0126e4705909c3jk.html</w:t>
        </w:r>
      </w:hyperlink>
    </w:p>
    <w:p>
      <w:pPr>
        <w:spacing w:lineRule="exact" w:line="560" w:after="80" w:before="0"/>
        <w:ind w:firstLine="0"/>
      </w:pPr>
      <w:r>
        <w:rPr>
          <w:rFonts w:ascii="黑体" w:hAnsi="黑体" w:eastAsia="黑体"/>
          <w:b/>
          <w:sz w:val="32"/>
        </w:rPr>
        <w:t>5．广州印发“园区贷”实施方案 打造可复制园区金融服务样板</w:t>
      </w:r>
    </w:p>
    <w:p>
      <w:pPr>
        <w:spacing w:lineRule="exact" w:line="560" w:after="120" w:before="0"/>
        <w:ind w:firstLine="480"/>
      </w:pPr>
      <w:r>
        <w:rPr>
          <w:rFonts w:ascii="仿宋_GB2312" w:hAnsi="仿宋_GB2312" w:eastAsia="仿宋_GB2312"/>
          <w:b w:val="0"/>
          <w:sz w:val="32"/>
        </w:rPr>
        <w:t>广州市委金融办等部门联合印发《广州推行“园区贷”实施方案》，按照“政府搭台、园区承载、机构服务、企业受益”总体思路，围绕四大方向提出10项任务，聚合金融资源为培育新质生产力、建设现代化产业体系注入动能。</w:t>
      </w:r>
      <w:r>
        <w:br/>
      </w:r>
      <w:r>
        <w:rPr>
          <w:rFonts w:ascii="仿宋_GB2312" w:hAnsi="仿宋_GB2312" w:eastAsia="仿宋_GB2312"/>
          <w:b w:val="0"/>
          <w:sz w:val="32"/>
        </w:rPr>
        <w:t>一是突出主办银行牵头作用。推动积极性高、产业金融服务能力强的银行作为产业园区主办银行，量身定制专项金融服务方案，优化科技支行等特色机构布局，落实尽职免责、合理设定风险容忍度，组建“懂金融又懂产业”的专业服务团队。</w:t>
      </w:r>
      <w:r>
        <w:br/>
      </w:r>
      <w:r>
        <w:rPr>
          <w:rFonts w:ascii="仿宋_GB2312" w:hAnsi="仿宋_GB2312" w:eastAsia="仿宋_GB2312"/>
          <w:b w:val="0"/>
          <w:sz w:val="32"/>
        </w:rPr>
        <w:t>二是构建“贷股债担保租”六位一体体系。由主办银行联合基金、投资机构、证券公司等非银机构及园区运营方，分层分类匹配企业不同成长阶段金融需求，探索投贷联动、打造“股贷保”组合产品，依托广东区域性股权市场推广“认股权+园区”模式，支持成立园区综合金融服务中心打通落地“最后一公里”。</w:t>
      </w:r>
      <w:r>
        <w:br/>
      </w:r>
      <w:r>
        <w:rPr>
          <w:rFonts w:ascii="仿宋_GB2312" w:hAnsi="仿宋_GB2312" w:eastAsia="仿宋_GB2312"/>
          <w:b w:val="0"/>
          <w:sz w:val="32"/>
        </w:rPr>
        <w:t>三是数据赋能破解轻资产融资难。依托广州市“信易贷”等平台，在依法合规与企业授权前提下推动园区企业经营管理、研发投入、知识产权等信息共享，推动信贷理念从侧重固定资产抵押的“看砖头”向“看人头”“看势头”转变。</w:t>
      </w:r>
      <w:r>
        <w:br/>
      </w:r>
      <w:r>
        <w:rPr>
          <w:rFonts w:ascii="仿宋_GB2312" w:hAnsi="仿宋_GB2312" w:eastAsia="仿宋_GB2312"/>
          <w:b w:val="0"/>
          <w:sz w:val="32"/>
        </w:rPr>
        <w:t>该方案为2025年4月推出的“益企共赢计划”进园区延伸，初期优先选取产业集聚度高、运营管理良好的园区试点，截至2026年9月末该计划累计签约企业超1600户、金额超560亿元。</w:t>
      </w:r>
    </w:p>
    <w:p>
      <w:pPr>
        <w:spacing w:lineRule="exact" w:line="560" w:after="0" w:before="0"/>
        <w:ind w:firstLine="0"/>
      </w:pPr>
      <w:r>
        <w:rPr>
          <w:rFonts w:ascii="仿宋_GB2312" w:hAnsi="仿宋_GB2312" w:eastAsia="仿宋_GB2312"/>
          <w:b w:val="0"/>
          <w:sz w:val="32"/>
        </w:rPr>
        <w:t>（信息来源：南方都市报 2026年10月14日）</w:t>
      </w:r>
    </w:p>
    <w:p>
      <w:pPr>
        <w:spacing w:lineRule="exact" w:line="560" w:after="0" w:before="0"/>
        <w:ind w:firstLine="0"/>
      </w:pPr>
      <w:r>
        <w:rPr>
          <w:rFonts w:ascii="仿宋_GB2312" w:hAnsi="仿宋_GB2312" w:eastAsia="仿宋_GB2312"/>
          <w:b w:val="0"/>
          <w:sz w:val="32"/>
        </w:rPr>
        <w:t>原文标题及链接：四大方向10项任务赋能发展</w:t>
      </w:r>
    </w:p>
    <w:p>
      <w:pPr>
        <w:spacing w:lineRule="exact" w:line="560" w:after="200" w:before="0"/>
        <w:ind w:firstLine="0"/>
      </w:pPr>
      <w:hyperlink r:id="rId13">
        <w:r>
          <w:rPr>
            <w:rStyle w:val="Hyperlink"/>
            <w:rFonts w:eastAsia="仿宋_GB2312" w:ascii="仿宋_GB2312" w:hAnsi="仿宋_GB2312"/>
            <w:sz w:val="32"/>
            <w:szCs w:val="32"/>
            <w:color w:val="0563C1"/>
          </w:rPr>
          <w:t xml:space="preserve">https://epaper.oeeee.com/epaper/G/html/2026-10/14/content_8936.htm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utiao.com/article/7696298020459135488/" TargetMode="External"/><Relationship Id="rId10" Type="http://schemas.openxmlformats.org/officeDocument/2006/relationships/hyperlink" Target="https://www.toutiao.com/article/7696297626832011839/" TargetMode="External"/><Relationship Id="rId11" Type="http://schemas.openxmlformats.org/officeDocument/2006/relationships/hyperlink" Target="https://xh.xhby.net/pc/con/202610/14/content_1596932.html" TargetMode="External"/><Relationship Id="rId12" Type="http://schemas.openxmlformats.org/officeDocument/2006/relationships/hyperlink" Target="https://k.sina.com.cn/article_7517400647_1c0126e4705909c3jk.html" TargetMode="External"/><Relationship Id="rId13" Type="http://schemas.openxmlformats.org/officeDocument/2006/relationships/hyperlink" Target="https://epaper.oeeee.com/epaper/G/html/2026-10/14/content_893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