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iti" w:hAnsi="Heiti" w:eastAsia="Heiti"/>
          <w:b/>
          <w:sz w:val="48"/>
        </w:rPr>
        <w:t>6月29日 媒体信息摘报</w:t>
      </w:r>
    </w:p>
    <w:p>
      <w:pPr>
        <w:jc w:val="center"/>
      </w:pPr>
      <w:r>
        <w:rPr>
          <w:rFonts w:ascii="FangSong_GB2312" w:hAnsi="FangSong_GB2312" w:eastAsia="FangSong_GB2312"/>
          <w:sz w:val="28"/>
        </w:rPr>
        <w:t>2026年6月29日  工作日</w:t>
      </w:r>
    </w:p>
    <w:p/>
    <w:p>
      <w:pPr>
        <w:spacing w:before="120" w:after="120" w:line="560" w:lineRule="exact"/>
        <w:jc w:val="left"/>
      </w:pPr>
      <w:r>
        <w:rPr>
          <w:rFonts w:ascii="Heiti" w:hAnsi="Heiti" w:eastAsia="Heiti"/>
          <w:b/>
          <w:sz w:val="32"/>
        </w:rPr>
        <w:t>1. 兔展智能：在深圳"看见"视觉AI下一站</w:t>
      </w:r>
    </w:p>
    <w:p>
      <w:pPr>
        <w:spacing w:line="560" w:lineRule="exact" w:after="0"/>
        <w:ind w:firstLine="640"/>
      </w:pPr>
      <w:r>
        <w:rPr>
          <w:rFonts w:ascii="FangSong_GB2312" w:hAnsi="FangSong_GB2312" w:eastAsia="FangSong_GB2312"/>
          <w:sz w:val="32"/>
        </w:rPr>
        <w:t>深圳南山企业兔展智能把大模型搬进"生产线"，让AI办事更便捷，为广东破解AI落地"最后一公里"提供了全新路径。其核心做法包括：</w:t>
      </w:r>
    </w:p>
    <w:p>
      <w:pPr>
        <w:spacing w:line="560" w:lineRule="exact" w:after="0"/>
        <w:ind w:firstLine="640"/>
      </w:pPr>
      <w:r>
        <w:rPr>
          <w:rFonts w:ascii="FangSong_GB2312" w:hAnsi="FangSong_GB2312" w:eastAsia="FangSong_GB2312"/>
          <w:sz w:val="32"/>
        </w:rPr>
        <w:t>一是抢抓视觉空间智能赛道，避开语言大模型红海。2022年生成式AI浪潮袭来时，兔展押注"模拟人类右脑"的视觉空间智能，与OpenAI发布Sora几乎同一时间，Open-Sora Plan宣布开源，成为全球最早的开源文生视频模型之一，5次登顶GitHub全球趋势榜，单模型下载超2600万次，字节、腾讯、华为等巨头纷纷采用。</w:t>
      </w:r>
    </w:p>
    <w:p>
      <w:pPr>
        <w:spacing w:line="560" w:lineRule="exact" w:after="0"/>
        <w:ind w:firstLine="640"/>
      </w:pPr>
      <w:r>
        <w:rPr>
          <w:rFonts w:ascii="FangSong_GB2312" w:hAnsi="FangSong_GB2312" w:eastAsia="FangSong_GB2312"/>
          <w:sz w:val="32"/>
        </w:rPr>
        <w:t>二是持续推进大模型技术迭代与国产化适配。2025年5月，UniWorld-V1率先实现"理解—生成—编辑"统一架构；UniWorld-V2比谷歌同类模型Nano Banana早3个月；2026年4月，UniWorld-V2.5与OpenAI的GPT-Image-2同周发布；自研"兔灵"大模型成为广东省首个完成备案的视觉空间智能大模型。同时，兔展是华为昇腾910C全球首个大规模用户，Open-Sora Plan V1.5成为行业首个100%基于昇腾架构的视觉生成模型。</w:t>
      </w:r>
    </w:p>
    <w:p>
      <w:pPr>
        <w:spacing w:line="560" w:lineRule="exact" w:after="0"/>
        <w:ind w:firstLine="640"/>
      </w:pPr>
      <w:r>
        <w:rPr>
          <w:rFonts w:ascii="FangSong_GB2312" w:hAnsi="FangSong_GB2312" w:eastAsia="FangSong_GB2312"/>
          <w:sz w:val="32"/>
        </w:rPr>
        <w:t>三是首创SkillsUI系统重构AI交互逻辑。在企业现有系统之上增加"AI入口层"，将封闭复杂的业务系统拆解成标准化、可由AI调度的"Skills"。用户用自然语言表达需求，SkillsUI便能实时生成可视化、可操作的"原生交互卡片"，在支付、授权等关键节点引入人类确认机制，确保安全可控。</w:t>
      </w:r>
    </w:p>
    <w:p>
      <w:pPr>
        <w:spacing w:line="560" w:lineRule="exact" w:after="0"/>
        <w:ind w:firstLine="640"/>
      </w:pPr>
      <w:r>
        <w:rPr>
          <w:rFonts w:ascii="FangSong_GB2312" w:hAnsi="FangSong_GB2312" w:eastAsia="FangSong_GB2312"/>
          <w:sz w:val="32"/>
        </w:rPr>
        <w:t>四是深耕政务与企业高频场景。SkillsUI已接入"i深圳"政务服务平台，市民房屋转租登记、社保查询、医院挂号等"说一句话"就能办；企业侧已落地内部办公、电商、制造业、能源等行业，重点行业客户复制后可形成千万级降本增效空间。</w:t>
      </w:r>
    </w:p>
    <w:p>
      <w:pPr>
        <w:spacing w:line="560" w:lineRule="exact" w:after="0"/>
        <w:ind w:firstLine="640"/>
      </w:pPr>
      <w:r>
        <w:rPr>
          <w:rFonts w:ascii="FangSong_GB2312" w:hAnsi="FangSong_GB2312" w:eastAsia="FangSong_GB2312"/>
          <w:sz w:val="32"/>
        </w:rPr>
        <w:t>五是构建商业化矩阵精准赋能千行百业。图片生成工具AnyReal为某假发品牌一年节省成本数千万元；视频产品TUVE帮助某3C品牌月产素材超200条；出海红人营销Agent产品DeiNai帮出海品牌两周触达1200万海外用户。2025年兔展AI商业化签约破亿元，月复合增长超60%，服务用户超4100万。</w:t>
      </w:r>
    </w:p>
    <w:p>
      <w:pPr>
        <w:spacing w:line="560" w:lineRule="exact" w:after="240"/>
        <w:ind w:firstLine="640"/>
      </w:pPr>
      <w:r>
        <w:rPr>
          <w:rFonts w:ascii="FangSong_GB2312" w:hAnsi="FangSong_GB2312" w:eastAsia="FangSong_GB2312"/>
          <w:sz w:val="32"/>
        </w:rPr>
        <w:t>（信息来源：南方日报6月29日《兔展智能：在深圳"看见"视觉AI下一站》  https://epaper.nfnews.com/nfdaily/html/202606/29/content_10174257.html）</w:t>
      </w:r>
    </w:p>
    <w:p>
      <w:pPr>
        <w:spacing w:before="120" w:after="120" w:line="560" w:lineRule="exact"/>
        <w:jc w:val="left"/>
      </w:pPr>
      <w:r>
        <w:rPr>
          <w:rFonts w:ascii="Heiti" w:hAnsi="Heiti" w:eastAsia="Heiti"/>
          <w:b/>
          <w:sz w:val="32"/>
        </w:rPr>
        <w:t>2. 湛江：深耕"AI双城" 激活发展新引擎</w:t>
      </w:r>
    </w:p>
    <w:p>
      <w:pPr>
        <w:spacing w:line="560" w:lineRule="exact" w:after="0"/>
        <w:ind w:firstLine="640"/>
      </w:pPr>
      <w:r>
        <w:rPr>
          <w:rFonts w:ascii="FangSong_GB2312" w:hAnsi="FangSong_GB2312" w:eastAsia="FangSong_GB2312"/>
          <w:sz w:val="32"/>
        </w:rPr>
        <w:t>湛江连续三年上榜全国"数字百强市"，连续两年入围"中国城市数据要素100强"，均为粤东西北地区唯一。湛江以《加快打造AI渗透之城行动方案（2025—2027年）》为统揽，统筹推进"算力、算法、数据、场景、产业、生态"六大关键要素建设。具体措施包括：</w:t>
      </w:r>
    </w:p>
    <w:p>
      <w:pPr>
        <w:spacing w:line="560" w:lineRule="exact" w:after="0"/>
        <w:ind w:firstLine="640"/>
      </w:pPr>
      <w:r>
        <w:rPr>
          <w:rFonts w:ascii="FangSong_GB2312" w:hAnsi="FangSong_GB2312" w:eastAsia="FangSong_GB2312"/>
          <w:sz w:val="32"/>
        </w:rPr>
        <w:t>一是搭建统一算力调度平台，实现AI能力"超市化供给"。启动100P公共智能算力中心主体工程，引入深圳云天励飞启动AI渗透支撑新质生产力基础设施建设项目，打造国内首个国产AI推理千卡集群；整合126个市级优质算法，覆盖城市管理、市场监管、应急管理、交通执法、生态环保等18个领域。</w:t>
      </w:r>
    </w:p>
    <w:p>
      <w:pPr>
        <w:spacing w:line="560" w:lineRule="exact" w:after="0"/>
        <w:ind w:firstLine="640"/>
      </w:pPr>
      <w:r>
        <w:rPr>
          <w:rFonts w:ascii="FangSong_GB2312" w:hAnsi="FangSong_GB2312" w:eastAsia="FangSong_GB2312"/>
          <w:sz w:val="32"/>
        </w:rPr>
        <w:t>二是激活数据要素底座。全市数据共享平台汇聚政务、产业、民生等多领域数据超12亿条，回流省级数据资源近79亿条，共享数据资源目录8785个，为模型训练和场景应用提供高质量数据支撑。</w:t>
      </w:r>
    </w:p>
    <w:p>
      <w:pPr>
        <w:spacing w:line="560" w:lineRule="exact" w:after="0"/>
        <w:ind w:firstLine="640"/>
      </w:pPr>
      <w:r>
        <w:rPr>
          <w:rFonts w:ascii="FangSong_GB2312" w:hAnsi="FangSong_GB2312" w:eastAsia="FangSong_GB2312"/>
          <w:sz w:val="32"/>
        </w:rPr>
        <w:t>三是把AI嵌入城市规划和项目建设。在"十五五"规划编制中，20余个市级专项规划明确融入AI数智化建设要求；印发制造业、海洋经济、农业农村、教育、卫生健康五大领域边缘AI应用专项行动计划；建立城市基础设施项目数智化配建机制，2025年共有23个市级政府投资项目融入数智化内容，2026年计划增加到35个。</w:t>
      </w:r>
    </w:p>
    <w:p>
      <w:pPr>
        <w:spacing w:line="560" w:lineRule="exact" w:after="0"/>
        <w:ind w:firstLine="640"/>
      </w:pPr>
      <w:r>
        <w:rPr>
          <w:rFonts w:ascii="FangSong_GB2312" w:hAnsi="FangSong_GB2312" w:eastAsia="FangSong_GB2312"/>
          <w:sz w:val="32"/>
        </w:rPr>
        <w:t>四是建立"专班统筹、行业协同、专家支撑、国企参与"协同推进机制。成立市级AI渗透之城建设工作专班，组建湛江市人工智能与机器人协会，吸纳69家市场主体、科研机构、行业单位加入；选聘33名行业顶尖专家组建专家委员会；揭牌成立湛江市人工智能发展有限公司，作为粤东西北地区首家人工智能领域国企，承担公共数据授权运营、算力服务市场化、场景落地运营等职能。</w:t>
      </w:r>
    </w:p>
    <w:p>
      <w:pPr>
        <w:spacing w:line="560" w:lineRule="exact" w:after="0"/>
        <w:ind w:firstLine="640"/>
      </w:pPr>
      <w:r>
        <w:rPr>
          <w:rFonts w:ascii="FangSong_GB2312" w:hAnsi="FangSong_GB2312" w:eastAsia="FangSong_GB2312"/>
          <w:sz w:val="32"/>
        </w:rPr>
        <w:t>五是推动AI从单点应用走向系统协同、嵌入传统产业。宝钢湛江钢铁建设AI+大模型应用一体化平台，东海岛化工园区引入边缘AI技术加强危化品安全预警，吴川塑料鞋业借助多模态大模型分析海外市场需求；廉江良垌、徐闻下洋建设特色农作物智慧农场示范基地，实现亩均增产15%、农药使用量减少25%。</w:t>
      </w:r>
    </w:p>
    <w:p>
      <w:pPr>
        <w:spacing w:line="560" w:lineRule="exact" w:after="0"/>
        <w:ind w:firstLine="640"/>
      </w:pPr>
      <w:r>
        <w:rPr>
          <w:rFonts w:ascii="FangSong_GB2312" w:hAnsi="FangSong_GB2312" w:eastAsia="FangSong_GB2312"/>
          <w:sz w:val="32"/>
        </w:rPr>
        <w:t>六是AI渗透城市生活肌理。已建成6所人工智能示范校，"学膳e管"平台覆盖1656所公办学校对后厨违规行为实时抓拍；136家医疗卫生机构接入检查检验结果互认系统，累计上传报告561.3万份，跨机构调阅65.9万次，为群众节省费用1971.2万元。</w:t>
      </w:r>
    </w:p>
    <w:p>
      <w:pPr>
        <w:spacing w:line="560" w:lineRule="exact" w:after="240"/>
        <w:ind w:firstLine="640"/>
      </w:pPr>
      <w:r>
        <w:rPr>
          <w:rFonts w:ascii="FangSong_GB2312" w:hAnsi="FangSong_GB2312" w:eastAsia="FangSong_GB2312"/>
          <w:sz w:val="32"/>
        </w:rPr>
        <w:t>（信息来源：南方日报6月29日《湛江：深耕"AI双城" 激活发展新引擎》  https://epaper.nfnews.com/nfdaily/html/202606/29/content_10174236.html）</w:t>
      </w:r>
    </w:p>
    <w:p>
      <w:pPr>
        <w:spacing w:before="120" w:after="120" w:line="560" w:lineRule="exact"/>
        <w:jc w:val="left"/>
      </w:pPr>
      <w:r>
        <w:rPr>
          <w:rFonts w:ascii="Heiti" w:hAnsi="Heiti" w:eastAsia="Heiti"/>
          <w:b/>
          <w:sz w:val="32"/>
        </w:rPr>
        <w:t>3. "荔枝出口第一县"如何辟开出海路？</w:t>
      </w:r>
    </w:p>
    <w:p>
      <w:pPr>
        <w:spacing w:line="560" w:lineRule="exact" w:after="0"/>
        <w:ind w:firstLine="640"/>
      </w:pPr>
      <w:r>
        <w:rPr>
          <w:rFonts w:ascii="FangSong_GB2312" w:hAnsi="FangSong_GB2312" w:eastAsia="FangSong_GB2312"/>
          <w:sz w:val="32"/>
        </w:rPr>
        <w:t>廉江2025年出口荔枝达6970吨，占全国出口总量的21%，意味着全国每出口5颗荔枝就有1颗来自这里。廉江荔枝出海的核心做法包括：</w:t>
      </w:r>
    </w:p>
    <w:p>
      <w:pPr>
        <w:spacing w:line="560" w:lineRule="exact" w:after="0"/>
        <w:ind w:firstLine="640"/>
      </w:pPr>
      <w:r>
        <w:rPr>
          <w:rFonts w:ascii="FangSong_GB2312" w:hAnsi="FangSong_GB2312" w:eastAsia="FangSong_GB2312"/>
          <w:sz w:val="32"/>
        </w:rPr>
        <w:t>一是果农抱团出海，抢回定价权。2003年当地政府招商引资成立广东日昇公司，果农联合成立良垌日昇荔枝专业合作社，2006年成为广东首家具有进出口权的农民专业合作社。20年间合作社由几百户果农自行摸索出口，敲开全球大门，2023—2025年三年累计出口荔枝超1.5万吨，货值超2亿元。</w:t>
      </w:r>
    </w:p>
    <w:p>
      <w:pPr>
        <w:spacing w:line="560" w:lineRule="exact" w:after="0"/>
        <w:ind w:firstLine="640"/>
      </w:pPr>
      <w:r>
        <w:rPr>
          <w:rFonts w:ascii="FangSong_GB2312" w:hAnsi="FangSong_GB2312" w:eastAsia="FangSong_GB2312"/>
          <w:sz w:val="32"/>
        </w:rPr>
        <w:t>二是精选抗压耐储运品种，建立规模化种植优势。依托华南农业大学"取经"，选定妃子笑作为主打品种；廉江超八成荔枝林统一种植妃子笑，仅良垌镇就达8万多亩；果实比珠三角早上市15到20天，比福建产区早30天以上，抢到全球荔枝市场空当期。引进"仙桃荔"等高端新品种，每斤价格近百元；启动"廉荔一号"选育工程调优品种结构。</w:t>
      </w:r>
    </w:p>
    <w:p>
      <w:pPr>
        <w:spacing w:line="560" w:lineRule="exact" w:after="0"/>
        <w:ind w:firstLine="640"/>
      </w:pPr>
      <w:r>
        <w:rPr>
          <w:rFonts w:ascii="FangSong_GB2312" w:hAnsi="FangSong_GB2312" w:eastAsia="FangSong_GB2312"/>
          <w:sz w:val="32"/>
        </w:rPr>
        <w:t>三是推广标准化精细化田头管理。国家荔枝龙眼产业技术体系团队扎根廉江，推广营养管理、控梢促花、疏花保果等标准化技术；规定种植品种、施药、采摘、包装、销售统一标准，一斤妃子笑荔枝控制在25—28个果，实现欧盟、澳大利亚、北美等全球高准入标准的统一执行。</w:t>
      </w:r>
    </w:p>
    <w:p>
      <w:pPr>
        <w:spacing w:line="560" w:lineRule="exact" w:after="0"/>
        <w:ind w:firstLine="640"/>
      </w:pPr>
      <w:r>
        <w:rPr>
          <w:rFonts w:ascii="FangSong_GB2312" w:hAnsi="FangSong_GB2312" w:eastAsia="FangSong_GB2312"/>
          <w:sz w:val="32"/>
        </w:rPr>
        <w:t>四是超前布局高标准冷库硬件。2010年自筹资金约2000万元升级建设国际标准冷库，运输途中荔枝温度保持1摄氏度，确保到港通关；目前仅日升合作社就有8000余亩荔枝获海关出口备案资质，2000余亩通过GAP认证。</w:t>
      </w:r>
    </w:p>
    <w:p>
      <w:pPr>
        <w:spacing w:line="560" w:lineRule="exact" w:after="0"/>
        <w:ind w:firstLine="640"/>
      </w:pPr>
      <w:r>
        <w:rPr>
          <w:rFonts w:ascii="FangSong_GB2312" w:hAnsi="FangSong_GB2312" w:eastAsia="FangSong_GB2312"/>
          <w:sz w:val="32"/>
        </w:rPr>
        <w:t>五是构建成熟供应链体系。上游推行"十统一"标准化管控模式；中游加工端实现采摘后"1小时预冷"；下游物流端打通"12小时直达大湾区、48小时出海全球"冷链网络。日升等三家合作社具备冷链保鲜加工能力，广东供销天业（廉江）冷链物流产业园项目正在加速建设以打通"最后一公里"。</w:t>
      </w:r>
    </w:p>
    <w:p>
      <w:pPr>
        <w:spacing w:line="560" w:lineRule="exact" w:after="240"/>
        <w:ind w:firstLine="640"/>
      </w:pPr>
      <w:r>
        <w:rPr>
          <w:rFonts w:ascii="FangSong_GB2312" w:hAnsi="FangSong_GB2312" w:eastAsia="FangSong_GB2312"/>
          <w:sz w:val="32"/>
        </w:rPr>
        <w:t>（信息来源：南方日报6月29日《"荔枝出口第一县"如何辟开出海路？》  https://epaper.nfnews.com/nfdaily/html/202606/29/content_10174237.html）</w:t>
      </w:r>
    </w:p>
    <w:p>
      <w:pPr>
        <w:spacing w:before="120" w:after="120" w:line="560" w:lineRule="exact"/>
        <w:jc w:val="left"/>
      </w:pPr>
      <w:r>
        <w:rPr>
          <w:rFonts w:ascii="Heiti" w:hAnsi="Heiti" w:eastAsia="Heiti"/>
          <w:b/>
          <w:sz w:val="32"/>
        </w:rPr>
        <w:t>4. 长沙：厚植科创沃土 孕育产业森林</w:t>
      </w:r>
    </w:p>
    <w:p>
      <w:pPr>
        <w:spacing w:line="560" w:lineRule="exact" w:after="0"/>
        <w:ind w:firstLine="640"/>
      </w:pPr>
      <w:r>
        <w:rPr>
          <w:rFonts w:ascii="FangSong_GB2312" w:hAnsi="FangSong_GB2312" w:eastAsia="FangSong_GB2312"/>
          <w:sz w:val="32"/>
        </w:rPr>
        <w:t>长沙以《长沙市打造具有核心竞争力的科技创新高地暨全球研发中心城市建设2026年行动方案》为总抓手，紧扣18项重点任务、35项重大科技创新项目、十大科技活动，聚力科技创新高地"六大标志性工程"。具体做法包括：</w:t>
      </w:r>
    </w:p>
    <w:p>
      <w:pPr>
        <w:spacing w:line="560" w:lineRule="exact" w:after="0"/>
        <w:ind w:firstLine="640"/>
      </w:pPr>
      <w:r>
        <w:rPr>
          <w:rFonts w:ascii="FangSong_GB2312" w:hAnsi="FangSong_GB2312" w:eastAsia="FangSong_GB2312"/>
          <w:sz w:val="32"/>
        </w:rPr>
        <w:t>一是构建"一城一区三基地"高能级创新平台矩阵。湘江科学城首开区5.8平方公里年内正式开园，已累计引进中车长沙科技创新中心、湖南钢铁研究院等70余个优质项目，总投资超400亿元；自贸区长沙片区推进香港城市大学（长沙）创新研究中心落地；马栏山视频文创产业园发布AI影视创作平台"智马漫影"，视频生成效率较传统方式提升百倍；开福科创谷科技创新交流中心主体封顶，大泽湖基地国际人才社区揭牌，全省首个OPC（一人公司）创业中心投入使用。</w:t>
      </w:r>
    </w:p>
    <w:p>
      <w:pPr>
        <w:spacing w:line="560" w:lineRule="exact" w:after="0"/>
        <w:ind w:firstLine="640"/>
      </w:pPr>
      <w:r>
        <w:rPr>
          <w:rFonts w:ascii="FangSong_GB2312" w:hAnsi="FangSong_GB2312" w:eastAsia="FangSong_GB2312"/>
          <w:sz w:val="32"/>
        </w:rPr>
        <w:t>二是打造战略科技力量，攻关关键核心技术。岳麓山实验室联合高校发布全国首个中药材育种智能体"万草通"，已学习超百亿词元专业知识，并在博落回、黄精等品种开展应用示范；湘江实验室发布涵盖大模型、机器人、AI智能体、工业软件等26项创新成果；芙蓉实验室揭牌脑机接口创新中心，研发2项肿瘤早期筛查新技术；国家超级计算长沙中心天河主机系统实现小数据图计算能效世界三连冠。</w:t>
      </w:r>
    </w:p>
    <w:p>
      <w:pPr>
        <w:spacing w:line="560" w:lineRule="exact" w:after="0"/>
        <w:ind w:firstLine="640"/>
      </w:pPr>
      <w:r>
        <w:rPr>
          <w:rFonts w:ascii="FangSong_GB2312" w:hAnsi="FangSong_GB2312" w:eastAsia="FangSong_GB2312"/>
          <w:sz w:val="32"/>
        </w:rPr>
        <w:t>三是培育壮大创新主体，强化企业"生力军"地位。山河智能自研全球最大增程式旋挖钻机SWDM620E投入施工，今年1至5月增程式旋挖钻机订单量占总销量40%；三一重卡发布"魔方"技术品牌带动一季度新能源重卡销量同比增长66%；铁建重工国产大型硬岩掘进机打破国外技术垄断，轨道交通设备业务一季度新签合同同比增长17.45%；安牧泉攻克CPU、GPU等高端大芯片封装难题并实现规模化量产，今年一季度营收同比增长70%。</w:t>
      </w:r>
    </w:p>
    <w:p>
      <w:pPr>
        <w:spacing w:line="560" w:lineRule="exact" w:after="0"/>
        <w:ind w:firstLine="640"/>
      </w:pPr>
      <w:r>
        <w:rPr>
          <w:rFonts w:ascii="FangSong_GB2312" w:hAnsi="FangSong_GB2312" w:eastAsia="FangSong_GB2312"/>
          <w:sz w:val="32"/>
        </w:rPr>
        <w:t>四是打通成果转化"快车道"。全市推进全省第一批"先用后付"537项科技成果入库和推广；今年以来完成科技成果转化孵化215项，"三技合同"成交额7.55亿元；全市科创类基金新增投资项目23个、新增投资金额6.16亿元；为1066家企业发放知识价值贷款38.51亿元，破解科技型企业融资难题。</w:t>
      </w:r>
    </w:p>
    <w:p>
      <w:pPr>
        <w:spacing w:line="560" w:lineRule="exact" w:after="0"/>
        <w:ind w:firstLine="640"/>
      </w:pPr>
      <w:r>
        <w:rPr>
          <w:rFonts w:ascii="FangSong_GB2312" w:hAnsi="FangSong_GB2312" w:eastAsia="FangSong_GB2312"/>
          <w:sz w:val="32"/>
        </w:rPr>
        <w:t>五是优化创新生态与人才政策。推动领军人才与青年科技人才结对培育，全市科技领军人才和杰出青年科技人才近600人；出台《外国人来长沙工作便利化举措（试行）》优化外籍人才服务体验。</w:t>
      </w:r>
    </w:p>
    <w:p>
      <w:pPr>
        <w:spacing w:line="560" w:lineRule="exact" w:after="240"/>
        <w:ind w:firstLine="640"/>
      </w:pPr>
      <w:r>
        <w:rPr>
          <w:rFonts w:ascii="FangSong_GB2312" w:hAnsi="FangSong_GB2312" w:eastAsia="FangSong_GB2312"/>
          <w:sz w:val="32"/>
        </w:rPr>
        <w:t>（信息来源：湖南日报6月29日《长沙：厚植科创沃土 孕育产业森林！》  https://m.voc.com.cn/xhn/news/202606/33022220.html）</w:t>
      </w:r>
    </w:p>
    <w:p>
      <w:pPr>
        <w:spacing w:before="120" w:after="120" w:line="560" w:lineRule="exact"/>
        <w:jc w:val="left"/>
      </w:pPr>
      <w:r>
        <w:rPr>
          <w:rFonts w:ascii="Heiti" w:hAnsi="Heiti" w:eastAsia="Heiti"/>
          <w:b/>
          <w:sz w:val="32"/>
        </w:rPr>
        <w:t>5. 嘉兴：AI赋能，打造传统产业转型新范式</w:t>
      </w:r>
    </w:p>
    <w:p>
      <w:pPr>
        <w:spacing w:line="560" w:lineRule="exact" w:after="0"/>
        <w:ind w:firstLine="640"/>
      </w:pPr>
      <w:r>
        <w:rPr>
          <w:rFonts w:ascii="FangSong_GB2312" w:hAnsi="FangSong_GB2312" w:eastAsia="FangSong_GB2312"/>
          <w:sz w:val="32"/>
        </w:rPr>
        <w:t>嘉兴响应浙江省市场监督管理局"平台+产业"双向赋能战略，推动"产业带+平台"深度融合。2026年1—4月，嘉兴市网络零售额517.2亿元，同比增长14.7%。具体做法包括：</w:t>
      </w:r>
    </w:p>
    <w:p>
      <w:pPr>
        <w:spacing w:line="560" w:lineRule="exact" w:after="0"/>
        <w:ind w:firstLine="640"/>
      </w:pPr>
      <w:r>
        <w:rPr>
          <w:rFonts w:ascii="FangSong_GB2312" w:hAnsi="FangSong_GB2312" w:eastAsia="FangSong_GB2312"/>
          <w:sz w:val="32"/>
        </w:rPr>
        <w:t>一是打造直播平台助力产业提质升级。形成"产业带+直播"融合发展新模式，喜歌直播城于2022年9月启用，投入建设300多间专业直播间，配套专业摄影基地、美妆健身中心等设施，形成"硬件+软件"有机结合。截至2025年12月，有900余名主播在桐乡市从事直播带货，规模位居嘉兴各县（市、区）第一；濮院毛衫线上销售占比从不足25%提升至50%，优质认证助力产品溢价率提高20%。</w:t>
      </w:r>
    </w:p>
    <w:p>
      <w:pPr>
        <w:spacing w:line="560" w:lineRule="exact" w:after="0"/>
        <w:ind w:firstLine="640"/>
      </w:pPr>
      <w:r>
        <w:rPr>
          <w:rFonts w:ascii="FangSong_GB2312" w:hAnsi="FangSong_GB2312" w:eastAsia="FangSong_GB2312"/>
          <w:sz w:val="32"/>
        </w:rPr>
        <w:t>二是打造跨境平台推动产业高质量出海。全力打造"立足长三角、辐射全国、联通全球的跨境电商国际枢纽市"。截至2025年12月，全市拥有跨境电商应用企业超2500家，培育跨境电商品牌超500个，建设海外独立站超600个。"毛衫派"一站式跨境采购平台采用"9610""9710"出口模式，在阿联酋、韩国、意大利、匈牙利等国设立海外展示中心，政府补贴约70%的费用，企业抱团出海。2026年1—4月，嘉兴市跨境出口额达21.4亿元，同比增长4.16%。</w:t>
      </w:r>
    </w:p>
    <w:p>
      <w:pPr>
        <w:spacing w:line="560" w:lineRule="exact" w:after="0"/>
        <w:ind w:firstLine="640"/>
      </w:pPr>
      <w:r>
        <w:rPr>
          <w:rFonts w:ascii="FangSong_GB2312" w:hAnsi="FangSong_GB2312" w:eastAsia="FangSong_GB2312"/>
          <w:sz w:val="32"/>
        </w:rPr>
        <w:t>三是打造AI平台驱动产业数字化变革。浙江深服人工智能科技有限公司"画衣衣"AI设计与自动打版工具，将设计从构思到成品呈现的时间缩短至72小时，整体周期提升70%；"毛衫派"每年投入约100万元系统性引入AI拍摄、AI视频、AI走秀工具，一套AI拍摄的电商套图成本仅为40元，一条6秒的AI短视频成本仅为55元，截至2025年12月已为电商商家制作超一万余套AI电商套图。</w:t>
      </w:r>
    </w:p>
    <w:p>
      <w:pPr>
        <w:spacing w:line="560" w:lineRule="exact" w:after="0"/>
        <w:ind w:firstLine="640"/>
      </w:pPr>
      <w:r>
        <w:rPr>
          <w:rFonts w:ascii="FangSong_GB2312" w:hAnsi="FangSong_GB2312" w:eastAsia="FangSong_GB2312"/>
          <w:sz w:val="32"/>
        </w:rPr>
        <w:t>四是创新政策供给破解发展难题。针对AI技术与产业需求脱节，提出打造AI产业创新园区、对通过园区购买AI服务的企业给予50%政府补贴、授权"毛衫派"等平台建立"产业数据沙盒"；针对电商平台规则及生态不完善，强化政府监管职责，压实平台主体责任；针对产业带自建跨境平台资金体制束缚，设立产业带跨境平台孵化基金，对国有背景跨境平台实施差异化考核，建立"容错机制"与决策"负面清单"。</w:t>
      </w:r>
    </w:p>
    <w:p>
      <w:pPr>
        <w:spacing w:line="560" w:lineRule="exact" w:after="240"/>
        <w:ind w:firstLine="640"/>
      </w:pPr>
      <w:r>
        <w:rPr>
          <w:rFonts w:ascii="FangSong_GB2312" w:hAnsi="FangSong_GB2312" w:eastAsia="FangSong_GB2312"/>
          <w:sz w:val="32"/>
        </w:rPr>
        <w:t>（信息来源：浙江日报6月29日《嘉兴：AI赋能，打造传统产业转型新范式》  https://zjrb.zjol.com.cn/html/2026-06/29/content_3913988.htm）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_GB2312" w:hAnsi="FangSong_GB2312" w:eastAsia="FangSong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