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BF6A853" w:rsidR="00685693" w:rsidRDefault="000645C5" w:rsidP="008E5D01">
            <w:r>
              <w:t>2318_MétronomeElectronique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F7FA4AA" w:rsidR="003340E8" w:rsidRDefault="000645C5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0A8C73AC" w:rsidR="003340E8" w:rsidRDefault="000645C5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4531818B" w:rsidR="002D7037" w:rsidRDefault="000645C5">
            <w:r>
              <w:t>24.05.2024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5EDD0890" w:rsidR="00685693" w:rsidRDefault="000645C5" w:rsidP="002D7037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43B7E1B1" w:rsidR="00F70239" w:rsidRDefault="000645C5" w:rsidP="008F55B8">
            <w:r>
              <w:t>Julien Decrausaz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1308EA0A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177501AF" w14:textId="75A96E1A" w:rsidR="003B5A29" w:rsidRDefault="000645C5" w:rsidP="000645C5">
      <w:pPr>
        <w:jc w:val="both"/>
      </w:pPr>
      <w:r>
        <w:t xml:space="preserve">L’écran Epaper </w:t>
      </w:r>
      <w:proofErr w:type="spellStart"/>
      <w:r>
        <w:t>à</w:t>
      </w:r>
      <w:proofErr w:type="spellEnd"/>
      <w:r>
        <w:t xml:space="preserve"> été changé pour utiliser un LCD Tactile Résistif (modèle ILI9341 de chez Adafruit)</w:t>
      </w:r>
      <w:r w:rsidR="00CA7DBA">
        <w:t xml:space="preserve"> car plus simple et plus adapté pour cette utilisation. Il permet également de réduire le nombre de composants utilisés</w:t>
      </w:r>
      <w:r>
        <w:t>. Un potentiomètre de 300</w:t>
      </w:r>
      <w:r w:rsidR="00D41CC5">
        <w:t>Ω</w:t>
      </w:r>
      <w:r>
        <w:t xml:space="preserve"> </w:t>
      </w:r>
      <w:r w:rsidR="00D41CC5">
        <w:t>a</w:t>
      </w:r>
      <w:r>
        <w:t xml:space="preserve"> été ajouté au montage du buzzer (en série avec R107) afin d’ajuster le volume</w:t>
      </w:r>
      <w:r w:rsidR="003B5A29">
        <w:t xml:space="preserve"> et sa résistance R105 est passée à 150</w:t>
      </w:r>
      <w:r w:rsidR="00D41CC5">
        <w:t>Ω</w:t>
      </w:r>
      <w:r>
        <w:t>.</w:t>
      </w:r>
    </w:p>
    <w:p w14:paraId="5807302A" w14:textId="40A98B02" w:rsidR="000645C5" w:rsidRDefault="000645C5" w:rsidP="000645C5">
      <w:pPr>
        <w:jc w:val="both"/>
      </w:pPr>
      <w:r>
        <w:t>Les LEDs D303 à D305 ont été changées pour le modèle de l’ES. Leur résistance est passée à 180</w:t>
      </w:r>
      <w:r w:rsidR="00D41CC5">
        <w:t>Ω</w:t>
      </w:r>
      <w:r>
        <w:t xml:space="preserve">. Un montage a été ajouté en sortie de U301 </w:t>
      </w:r>
      <w:r w:rsidR="003B5A29">
        <w:t xml:space="preserve">afin de pouvoir maintenir l’alimentation depuis le </w:t>
      </w:r>
      <w:r w:rsidR="00D05E98">
        <w:t>microcontrôleur</w:t>
      </w:r>
      <w:r w:rsidR="003B5A29">
        <w:t xml:space="preserve"> </w:t>
      </w:r>
      <w:r>
        <w:t>(voir détails ci-dessous).</w:t>
      </w:r>
    </w:p>
    <w:p w14:paraId="03B74BD0" w14:textId="7ECE5955" w:rsidR="000645C5" w:rsidRDefault="003B5A29" w:rsidP="000645C5">
      <w:pPr>
        <w:jc w:val="both"/>
      </w:pPr>
      <w:r>
        <w:t>L’entrée ‘EN’ de U302 est reliée aux pins 7&amp;8. Le symbole schématique de U101 a été modifié en 2 headers mâles de 20pins chacun afin de pouvoir enficher le LCD sur le PCB sans avoir à le souder.</w:t>
      </w:r>
    </w:p>
    <w:p w14:paraId="4D460C03" w14:textId="112606BC" w:rsidR="003B5A29" w:rsidRDefault="003B5A29" w:rsidP="000645C5">
      <w:pPr>
        <w:jc w:val="both"/>
      </w:pPr>
      <w:r>
        <w:t xml:space="preserve">Le </w:t>
      </w:r>
      <w:r w:rsidR="00D05E98">
        <w:t xml:space="preserve">microcontrôleur </w:t>
      </w:r>
      <w:r>
        <w:t>a été remplacé par un PIC32MX230F256 car il comporte moins de pins et permet d’éviter d’avoir trop de pins non-connectées.</w:t>
      </w:r>
    </w:p>
    <w:p w14:paraId="048768AD" w14:textId="3FEA8C40" w:rsidR="003B5A29" w:rsidRPr="000645C5" w:rsidRDefault="003B5A29" w:rsidP="000645C5">
      <w:pPr>
        <w:jc w:val="both"/>
      </w:pPr>
      <w:r>
        <w:t>Des condensateurs ont été ajoutés aux PEC12 (C207 à C210).</w:t>
      </w:r>
    </w:p>
    <w:p w14:paraId="181E12ED" w14:textId="0F4920E1" w:rsidR="00D87CF7" w:rsidRDefault="00D87CF7" w:rsidP="005F3CF7">
      <w:pPr>
        <w:pStyle w:val="Titre1"/>
      </w:pPr>
      <w:r>
        <w:t>Référence conception</w:t>
      </w:r>
    </w:p>
    <w:p w14:paraId="037F091F" w14:textId="1E67A600" w:rsidR="00D05E98" w:rsidRDefault="00D05E98" w:rsidP="00D05E98">
      <w:r w:rsidRPr="00D05E98">
        <w:t>K:\ES\PROJETS\SLO\2318_MetronomeElectronique\hard\2318_Métronome_Electronique</w:t>
      </w:r>
    </w:p>
    <w:p w14:paraId="14F6EC38" w14:textId="5FD0D4B8" w:rsidR="003B5A29" w:rsidRDefault="003B5A29">
      <w:pPr>
        <w:rPr>
          <w:i/>
        </w:rPr>
      </w:pPr>
      <w:r>
        <w:rPr>
          <w:i/>
        </w:rPr>
        <w:br w:type="page"/>
      </w:r>
    </w:p>
    <w:p w14:paraId="1D35172F" w14:textId="456BA0E1" w:rsidR="00C20661" w:rsidRDefault="001A1E28" w:rsidP="005F3CF7">
      <w:pPr>
        <w:pStyle w:val="Titre1"/>
      </w:pPr>
      <w:r>
        <w:lastRenderedPageBreak/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CA7DBA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1C67D84E" w:rsidR="0095510B" w:rsidRDefault="00D05E98" w:rsidP="00B345CD">
            <w:r>
              <w:t>Remplacement de l’écran Epaper par le Touchscreen ILI9341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75E3143A" w14:textId="493BC5C2" w:rsidR="0095510B" w:rsidRDefault="00D05E98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19DFAC6C" w14:textId="0D661BDB" w:rsidR="0095510B" w:rsidRDefault="00D05E98" w:rsidP="00D05E98">
            <w:pPr>
              <w:jc w:val="center"/>
            </w:pPr>
            <w:r>
              <w:t>JDZ</w:t>
            </w:r>
          </w:p>
        </w:tc>
      </w:tr>
      <w:tr w:rsidR="0095510B" w14:paraId="364BBB13" w14:textId="103C55AA" w:rsidTr="00CA7DBA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255CB638" w:rsidR="0095510B" w:rsidRDefault="00D05E98" w:rsidP="00B345CD">
            <w:r>
              <w:t>Ajout d‘un potentiomètre 300Ω en série avec R107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60BBB1B3" w14:textId="2EA77C93" w:rsidR="0095510B" w:rsidRDefault="00350084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75AF046A" w14:textId="22415C23" w:rsidR="0095510B" w:rsidRDefault="00350084" w:rsidP="00D05E98">
            <w:pPr>
              <w:jc w:val="center"/>
            </w:pPr>
            <w:r>
              <w:t>JDZ</w:t>
            </w:r>
          </w:p>
        </w:tc>
      </w:tr>
      <w:tr w:rsidR="0095510B" w14:paraId="133A994B" w14:textId="41213815" w:rsidTr="00CA7DBA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5C390A7C" w:rsidR="0095510B" w:rsidRDefault="00350084" w:rsidP="00B345CD">
            <w:r>
              <w:t>Changer R105 -&gt; 150Ω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169417B0" w14:textId="1B1E65E1" w:rsidR="0095510B" w:rsidRDefault="00350084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3271463C" w14:textId="1DE31BEA" w:rsidR="0095510B" w:rsidRDefault="00350084" w:rsidP="00D05E98">
            <w:pPr>
              <w:jc w:val="center"/>
            </w:pPr>
            <w:r>
              <w:t>JDZ</w:t>
            </w:r>
          </w:p>
        </w:tc>
      </w:tr>
      <w:tr w:rsidR="0095510B" w14:paraId="16A10C56" w14:textId="2011A24F" w:rsidTr="00CA7DBA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49E38F41" w:rsidR="0095510B" w:rsidRDefault="00350084" w:rsidP="00B345CD">
            <w:r>
              <w:t>Changement des LEDs D303-D305 et leur résistance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55E01422" w14:textId="03378797" w:rsidR="0095510B" w:rsidRDefault="00350084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5F8C80CC" w14:textId="6D01A4FB" w:rsidR="0095510B" w:rsidRDefault="00350084" w:rsidP="00D05E98">
            <w:pPr>
              <w:jc w:val="center"/>
            </w:pPr>
            <w:r>
              <w:t>JDZ</w:t>
            </w:r>
          </w:p>
        </w:tc>
      </w:tr>
      <w:tr w:rsidR="0095510B" w14:paraId="15407752" w14:textId="7B2505EF" w:rsidTr="00CA7DBA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A1B02AB" w:rsidR="0095510B" w:rsidRDefault="00350084" w:rsidP="00B345CD">
            <w:r>
              <w:t xml:space="preserve">Modification de la </w:t>
            </w:r>
            <w:r w:rsidR="00CA7DBA">
              <w:t>connexion</w:t>
            </w:r>
            <w:r>
              <w:t xml:space="preserve"> du pin ‘EN’ de U302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68D1E134" w14:textId="1E760092" w:rsidR="0095510B" w:rsidRDefault="00350084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56619164" w14:textId="0CF98A4F" w:rsidR="0095510B" w:rsidRDefault="00350084" w:rsidP="00D05E98">
            <w:pPr>
              <w:jc w:val="center"/>
            </w:pPr>
            <w:r>
              <w:t>JDZ</w:t>
            </w:r>
          </w:p>
        </w:tc>
      </w:tr>
      <w:tr w:rsidR="0095510B" w14:paraId="4F36890E" w14:textId="3E88BA9D" w:rsidTr="00CA7DBA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24273734" w:rsidR="0095510B" w:rsidRDefault="00CA7DBA" w:rsidP="00B345CD">
            <w:r>
              <w:t>Changement du symbole de schématique de l’écran LCD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3CF95CB2" w14:textId="5D1E6BE1" w:rsidR="0095510B" w:rsidRDefault="00CA7DBA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1E6BF3B3" w14:textId="50A76BDA" w:rsidR="0095510B" w:rsidRDefault="00CA7DBA" w:rsidP="00D05E98">
            <w:pPr>
              <w:jc w:val="center"/>
            </w:pPr>
            <w:r>
              <w:t>JDZ</w:t>
            </w:r>
          </w:p>
        </w:tc>
      </w:tr>
      <w:tr w:rsidR="0095510B" w14:paraId="65F3680D" w14:textId="16EF6C35" w:rsidTr="00CA7DBA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658A4A37" w:rsidR="0095510B" w:rsidRDefault="00CA7DBA" w:rsidP="00B345CD">
            <w:r>
              <w:t xml:space="preserve">Remplacer le </w:t>
            </w:r>
            <w:proofErr w:type="spellStart"/>
            <w:r>
              <w:t>uC</w:t>
            </w:r>
            <w:proofErr w:type="spellEnd"/>
            <w:r>
              <w:t xml:space="preserve"> par un PIC32MX230F256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6699FA84" w14:textId="20ED9FFB" w:rsidR="0095510B" w:rsidRDefault="00CA7DBA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7A16F8A1" w14:textId="43BA75D8" w:rsidR="0095510B" w:rsidRDefault="00CA7DBA" w:rsidP="00D05E98">
            <w:pPr>
              <w:jc w:val="center"/>
            </w:pPr>
            <w:r>
              <w:t>JDZ</w:t>
            </w:r>
          </w:p>
        </w:tc>
      </w:tr>
      <w:tr w:rsidR="0095510B" w14:paraId="3F5D2140" w14:textId="326D87CF" w:rsidTr="00CA7DBA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5AF0D8A2" w:rsidR="0095510B" w:rsidRDefault="00CA7DBA" w:rsidP="00B345CD">
            <w:r>
              <w:t>Ajout des condensateurs C207 à C210</w:t>
            </w:r>
          </w:p>
        </w:tc>
        <w:tc>
          <w:tcPr>
            <w:tcW w:w="708" w:type="dxa"/>
            <w:shd w:val="clear" w:color="auto" w:fill="00FF00"/>
            <w:vAlign w:val="center"/>
          </w:tcPr>
          <w:p w14:paraId="3ED91EB7" w14:textId="5753C53D" w:rsidR="0095510B" w:rsidRDefault="00CA7DBA" w:rsidP="00D05E98">
            <w:pPr>
              <w:jc w:val="center"/>
            </w:pPr>
            <w:r>
              <w:t>OK</w:t>
            </w:r>
          </w:p>
        </w:tc>
        <w:tc>
          <w:tcPr>
            <w:tcW w:w="1134" w:type="dxa"/>
            <w:vAlign w:val="center"/>
          </w:tcPr>
          <w:p w14:paraId="2EFFCCF8" w14:textId="3F175F0F" w:rsidR="0095510B" w:rsidRDefault="00CA7DBA" w:rsidP="00D05E98">
            <w:pPr>
              <w:jc w:val="center"/>
            </w:pPr>
            <w:r>
              <w:t>JDZ</w:t>
            </w:r>
          </w:p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0368027D" w14:textId="483421FE" w:rsidR="000645C5" w:rsidRDefault="00E4669C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 xml:space="preserve">Exemple: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  <w:r w:rsidR="000645C5">
        <w:rPr>
          <w:i/>
        </w:rPr>
        <w:br w:type="page"/>
      </w:r>
    </w:p>
    <w:p w14:paraId="4C20F4DB" w14:textId="35949770" w:rsidR="00B345CD" w:rsidRDefault="00E9639F" w:rsidP="005F3CF7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0BD946FC" w:rsidR="00397677" w:rsidRPr="00091D30" w:rsidRDefault="000645C5" w:rsidP="00397677">
    <w:pPr>
      <w:pStyle w:val="Pieddepage"/>
      <w:rPr>
        <w:lang w:val="en-GB"/>
      </w:rPr>
    </w:pPr>
    <w:r>
      <w:rPr>
        <w:lang w:val="en-GB"/>
      </w:rPr>
      <w:t>JDZ</w:t>
    </w:r>
    <w:r w:rsidR="00397677">
      <w:rPr>
        <w:lang w:val="en-GB"/>
      </w:rPr>
      <w:t xml:space="preserve"> – </w:t>
    </w:r>
    <w:r>
      <w:rPr>
        <w:lang w:val="en-GB"/>
      </w:rPr>
      <w:t>Mai</w:t>
    </w:r>
    <w:r w:rsidR="00397677">
      <w:rPr>
        <w:lang w:val="en-GB"/>
      </w:rPr>
      <w:t xml:space="preserve"> </w:t>
    </w:r>
    <w:r>
      <w:rPr>
        <w:lang w:val="en-GB"/>
      </w:rPr>
      <w:t>2024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FD3B87">
      <w:rPr>
        <w:noProof/>
        <w:lang w:val="en-GB"/>
      </w:rPr>
      <w:t>2318_MetronomeElectronique-MOD-v1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4873C6A7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</w:r>
    <w:r w:rsidR="000645C5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645C5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50084"/>
    <w:rsid w:val="003677C2"/>
    <w:rsid w:val="00397677"/>
    <w:rsid w:val="003B5A29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A7DBA"/>
    <w:rsid w:val="00CC1594"/>
    <w:rsid w:val="00CD4ADB"/>
    <w:rsid w:val="00CE6E52"/>
    <w:rsid w:val="00CF02B5"/>
    <w:rsid w:val="00CF1E2F"/>
    <w:rsid w:val="00D05E98"/>
    <w:rsid w:val="00D324D0"/>
    <w:rsid w:val="00D33B8D"/>
    <w:rsid w:val="00D41CC5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D3B87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0C9CCDC"/>
  <w15:docId w15:val="{446A991E-84B7-460C-A30B-60713AC5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Julien Decrausaz</cp:lastModifiedBy>
  <cp:revision>81</cp:revision>
  <cp:lastPrinted>2024-05-24T11:14:00Z</cp:lastPrinted>
  <dcterms:created xsi:type="dcterms:W3CDTF">2018-10-28T18:18:00Z</dcterms:created>
  <dcterms:modified xsi:type="dcterms:W3CDTF">2024-05-24T11:14:00Z</dcterms:modified>
</cp:coreProperties>
</file>