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B24B8" w14:textId="7C1D36DB" w:rsidR="00BA1388" w:rsidRPr="00BA1388" w:rsidRDefault="002E56C5" w:rsidP="00BA1388">
      <w:pPr>
        <w:pStyle w:val="Titre"/>
        <w:rPr>
          <w:rFonts w:eastAsia="Times New Roman"/>
          <w:color w:val="FF0000"/>
          <w:lang w:eastAsia="fr-CH"/>
        </w:rPr>
      </w:pPr>
      <w:r>
        <w:rPr>
          <w:rFonts w:eastAsia="Times New Roman"/>
          <w:color w:val="FF0000"/>
          <w:lang w:eastAsia="fr-CH"/>
        </w:rPr>
        <w:t>Top 10 OWASP</w:t>
      </w:r>
    </w:p>
    <w:p w14:paraId="04EC5BF9" w14:textId="77777777" w:rsidR="00BA1388" w:rsidRPr="00BA1388" w:rsidRDefault="00BA1388" w:rsidP="00BA1388">
      <w:pPr>
        <w:rPr>
          <w:lang w:eastAsia="fr-CH"/>
        </w:rPr>
      </w:pPr>
    </w:p>
    <w:tbl>
      <w:tblPr>
        <w:tblStyle w:val="TableETML"/>
        <w:tblW w:w="0" w:type="auto"/>
        <w:tblLook w:val="04A0" w:firstRow="1" w:lastRow="0" w:firstColumn="1" w:lastColumn="0" w:noHBand="0" w:noVBand="1"/>
      </w:tblPr>
      <w:tblGrid>
        <w:gridCol w:w="3114"/>
        <w:gridCol w:w="5902"/>
      </w:tblGrid>
      <w:tr w:rsidR="007C1D70" w:rsidRPr="00BA1388" w14:paraId="277FF3BD" w14:textId="77777777" w:rsidTr="007C1D70">
        <w:trPr>
          <w:cnfStyle w:val="100000000000" w:firstRow="1" w:lastRow="0" w:firstColumn="0" w:lastColumn="0" w:oddVBand="0" w:evenVBand="0" w:oddHBand="0" w:evenHBand="0" w:firstRowFirstColumn="0" w:firstRowLastColumn="0" w:lastRowFirstColumn="0" w:lastRowLastColumn="0"/>
        </w:trPr>
        <w:tc>
          <w:tcPr>
            <w:tcW w:w="3114" w:type="dxa"/>
          </w:tcPr>
          <w:p w14:paraId="7A910A9D" w14:textId="77777777" w:rsidR="007C1D70" w:rsidRPr="007C1D70" w:rsidRDefault="007C1D70" w:rsidP="00BA1388">
            <w:pPr>
              <w:rPr>
                <w:lang w:val="fr-FR" w:eastAsia="fr-CH"/>
              </w:rPr>
            </w:pPr>
            <w:r>
              <w:rPr>
                <w:lang w:val="fr-FR" w:eastAsia="fr-CH"/>
              </w:rPr>
              <w:t>Elément</w:t>
            </w:r>
          </w:p>
        </w:tc>
        <w:tc>
          <w:tcPr>
            <w:tcW w:w="5902" w:type="dxa"/>
          </w:tcPr>
          <w:p w14:paraId="29511ADA" w14:textId="77777777" w:rsidR="007C1D70" w:rsidRPr="00BA1388" w:rsidRDefault="007C1D70" w:rsidP="00BA1388">
            <w:pPr>
              <w:rPr>
                <w:lang w:val="fr-FR" w:eastAsia="fr-CH"/>
              </w:rPr>
            </w:pPr>
            <w:r>
              <w:rPr>
                <w:lang w:val="fr-FR" w:eastAsia="fr-CH"/>
              </w:rPr>
              <w:t>Description</w:t>
            </w:r>
          </w:p>
        </w:tc>
      </w:tr>
      <w:tr w:rsidR="007C1D70" w:rsidRPr="00BA1388" w14:paraId="0BF94DEF" w14:textId="77777777" w:rsidTr="007C1D70">
        <w:trPr>
          <w:cnfStyle w:val="000000100000" w:firstRow="0" w:lastRow="0" w:firstColumn="0" w:lastColumn="0" w:oddVBand="0" w:evenVBand="0" w:oddHBand="1" w:evenHBand="0" w:firstRowFirstColumn="0" w:firstRowLastColumn="0" w:lastRowFirstColumn="0" w:lastRowLastColumn="0"/>
        </w:trPr>
        <w:tc>
          <w:tcPr>
            <w:tcW w:w="3114" w:type="dxa"/>
            <w:hideMark/>
          </w:tcPr>
          <w:p w14:paraId="72B66BA1" w14:textId="77777777" w:rsidR="00BA1388" w:rsidRPr="00BA1388" w:rsidRDefault="00BA1388" w:rsidP="00BA1388">
            <w:pPr>
              <w:rPr>
                <w:rFonts w:ascii="Times New Roman" w:hAnsi="Times New Roman"/>
                <w:b/>
                <w:bCs/>
                <w:szCs w:val="24"/>
                <w:lang w:eastAsia="fr-CH"/>
              </w:rPr>
            </w:pPr>
            <w:r w:rsidRPr="00BA1388">
              <w:rPr>
                <w:b/>
                <w:bCs/>
                <w:lang w:val="fr-FR" w:eastAsia="fr-CH"/>
              </w:rPr>
              <w:t>Compétences</w:t>
            </w:r>
            <w:r w:rsidRPr="00BA1388">
              <w:rPr>
                <w:b/>
                <w:bCs/>
                <w:lang w:eastAsia="fr-CH"/>
              </w:rPr>
              <w:t> </w:t>
            </w:r>
          </w:p>
        </w:tc>
        <w:tc>
          <w:tcPr>
            <w:tcW w:w="5902" w:type="dxa"/>
            <w:hideMark/>
          </w:tcPr>
          <w:p w14:paraId="5B4BF4C0" w14:textId="4147FDEE" w:rsidR="00BA1388" w:rsidRPr="00BA1388" w:rsidRDefault="002E56C5" w:rsidP="00BA1388">
            <w:pPr>
              <w:rPr>
                <w:rFonts w:ascii="Times New Roman" w:hAnsi="Times New Roman"/>
                <w:szCs w:val="24"/>
                <w:lang w:eastAsia="fr-CH"/>
              </w:rPr>
            </w:pPr>
            <w:r>
              <w:rPr>
                <w:rStyle w:val="ng-star-inserted"/>
                <w:b/>
                <w:bCs/>
              </w:rPr>
              <w:t xml:space="preserve">OO-1 : </w:t>
            </w:r>
            <w:r w:rsidR="009C61BB">
              <w:rPr>
                <w:rStyle w:val="ng-star-inserted"/>
                <w:b/>
                <w:bCs/>
              </w:rPr>
              <w:t>Reconnaître et pouvoir expliquer les menaces actuelles. Acquérir des informations actuelles sur ce thème (reconnaissance et contre-mesures), et pouvoir démontrer et expliquer les effets possibles.</w:t>
            </w:r>
          </w:p>
        </w:tc>
      </w:tr>
      <w:tr w:rsidR="007C1D70" w:rsidRPr="00BA1388" w14:paraId="5F71C19B" w14:textId="77777777" w:rsidTr="007C1D70">
        <w:trPr>
          <w:cnfStyle w:val="000000010000" w:firstRow="0" w:lastRow="0" w:firstColumn="0" w:lastColumn="0" w:oddVBand="0" w:evenVBand="0" w:oddHBand="0" w:evenHBand="1" w:firstRowFirstColumn="0" w:firstRowLastColumn="0" w:lastRowFirstColumn="0" w:lastRowLastColumn="0"/>
        </w:trPr>
        <w:tc>
          <w:tcPr>
            <w:tcW w:w="3114" w:type="dxa"/>
            <w:hideMark/>
          </w:tcPr>
          <w:p w14:paraId="762F77AD" w14:textId="77777777" w:rsidR="00BA1388" w:rsidRPr="00BA1388" w:rsidRDefault="00BA1388" w:rsidP="00BA1388">
            <w:pPr>
              <w:rPr>
                <w:rFonts w:ascii="Times New Roman" w:hAnsi="Times New Roman"/>
                <w:b/>
                <w:bCs/>
                <w:szCs w:val="24"/>
                <w:lang w:eastAsia="fr-CH"/>
              </w:rPr>
            </w:pPr>
            <w:r w:rsidRPr="00BA1388">
              <w:rPr>
                <w:b/>
                <w:bCs/>
                <w:lang w:val="fr-FR" w:eastAsia="fr-CH"/>
              </w:rPr>
              <w:t>Objectifs</w:t>
            </w:r>
            <w:r w:rsidRPr="00BA1388">
              <w:rPr>
                <w:b/>
                <w:bCs/>
                <w:lang w:eastAsia="fr-CH"/>
              </w:rPr>
              <w:t> </w:t>
            </w:r>
          </w:p>
        </w:tc>
        <w:tc>
          <w:tcPr>
            <w:tcW w:w="5902" w:type="dxa"/>
            <w:hideMark/>
          </w:tcPr>
          <w:p w14:paraId="160F2E59" w14:textId="7A3365BD" w:rsidR="00BA1388" w:rsidRPr="00BA1388" w:rsidRDefault="009E0A3B" w:rsidP="00BA1388">
            <w:pPr>
              <w:rPr>
                <w:rFonts w:ascii="Times New Roman" w:hAnsi="Times New Roman"/>
                <w:szCs w:val="24"/>
                <w:lang w:eastAsia="fr-CH"/>
              </w:rPr>
            </w:pPr>
            <w:r w:rsidRPr="009E0A3B">
              <w:rPr>
                <w:lang w:val="fr-FR" w:eastAsia="fr-CH"/>
              </w:rPr>
              <w:t>Citer les 10 risques de sécurité les plus répandus dans l’ordre de risque (top 10)</w:t>
            </w:r>
          </w:p>
        </w:tc>
      </w:tr>
      <w:tr w:rsidR="007C1D70" w:rsidRPr="00BA1388" w14:paraId="2C043783" w14:textId="77777777" w:rsidTr="007C1D70">
        <w:trPr>
          <w:cnfStyle w:val="000000100000" w:firstRow="0" w:lastRow="0" w:firstColumn="0" w:lastColumn="0" w:oddVBand="0" w:evenVBand="0" w:oddHBand="1" w:evenHBand="0" w:firstRowFirstColumn="0" w:firstRowLastColumn="0" w:lastRowFirstColumn="0" w:lastRowLastColumn="0"/>
        </w:trPr>
        <w:tc>
          <w:tcPr>
            <w:tcW w:w="3114" w:type="dxa"/>
            <w:hideMark/>
          </w:tcPr>
          <w:p w14:paraId="2A1D36C5" w14:textId="77777777" w:rsidR="00BA1388" w:rsidRPr="00BA1388" w:rsidRDefault="00BA1388" w:rsidP="00BA1388">
            <w:pPr>
              <w:rPr>
                <w:rFonts w:ascii="Times New Roman" w:hAnsi="Times New Roman"/>
                <w:b/>
                <w:bCs/>
                <w:szCs w:val="24"/>
                <w:lang w:eastAsia="fr-CH"/>
              </w:rPr>
            </w:pPr>
            <w:r w:rsidRPr="00BA1388">
              <w:rPr>
                <w:b/>
                <w:bCs/>
                <w:lang w:val="fr-FR" w:eastAsia="fr-CH"/>
              </w:rPr>
              <w:t>Durée estimée</w:t>
            </w:r>
            <w:r w:rsidRPr="00BA1388">
              <w:rPr>
                <w:b/>
                <w:bCs/>
                <w:lang w:eastAsia="fr-CH"/>
              </w:rPr>
              <w:t> </w:t>
            </w:r>
          </w:p>
        </w:tc>
        <w:tc>
          <w:tcPr>
            <w:tcW w:w="5902" w:type="dxa"/>
            <w:hideMark/>
          </w:tcPr>
          <w:p w14:paraId="3DCAE6C7" w14:textId="66FC15B6" w:rsidR="00BA1388" w:rsidRPr="00BA1388" w:rsidRDefault="002E56C5" w:rsidP="00BA1388">
            <w:pPr>
              <w:rPr>
                <w:rFonts w:ascii="Times New Roman" w:hAnsi="Times New Roman"/>
                <w:szCs w:val="24"/>
                <w:lang w:eastAsia="fr-CH"/>
              </w:rPr>
            </w:pPr>
            <w:r>
              <w:rPr>
                <w:lang w:val="fr-FR" w:eastAsia="fr-CH"/>
              </w:rPr>
              <w:t xml:space="preserve">10 </w:t>
            </w:r>
            <w:r w:rsidR="00BA1388" w:rsidRPr="00BA1388">
              <w:rPr>
                <w:lang w:val="fr-FR" w:eastAsia="fr-CH"/>
              </w:rPr>
              <w:t>min</w:t>
            </w:r>
            <w:r w:rsidR="00BA1388" w:rsidRPr="00BA1388">
              <w:rPr>
                <w:lang w:eastAsia="fr-CH"/>
              </w:rPr>
              <w:t> </w:t>
            </w:r>
          </w:p>
        </w:tc>
      </w:tr>
      <w:tr w:rsidR="007C1D70" w:rsidRPr="00BA1388" w14:paraId="0E43F72C" w14:textId="77777777" w:rsidTr="007C1D70">
        <w:trPr>
          <w:cnfStyle w:val="000000010000" w:firstRow="0" w:lastRow="0" w:firstColumn="0" w:lastColumn="0" w:oddVBand="0" w:evenVBand="0" w:oddHBand="0" w:evenHBand="1" w:firstRowFirstColumn="0" w:firstRowLastColumn="0" w:lastRowFirstColumn="0" w:lastRowLastColumn="0"/>
        </w:trPr>
        <w:tc>
          <w:tcPr>
            <w:tcW w:w="3114" w:type="dxa"/>
            <w:hideMark/>
          </w:tcPr>
          <w:p w14:paraId="38D2608D" w14:textId="77777777" w:rsidR="00BA1388" w:rsidRPr="00BA1388" w:rsidRDefault="00BA1388" w:rsidP="00BA1388">
            <w:pPr>
              <w:rPr>
                <w:rFonts w:ascii="Times New Roman" w:hAnsi="Times New Roman"/>
                <w:b/>
                <w:bCs/>
                <w:szCs w:val="24"/>
                <w:lang w:eastAsia="fr-CH"/>
              </w:rPr>
            </w:pPr>
            <w:r w:rsidRPr="00BA1388">
              <w:rPr>
                <w:b/>
                <w:bCs/>
                <w:lang w:val="fr-FR" w:eastAsia="fr-CH"/>
              </w:rPr>
              <w:t>Répertoire de travail</w:t>
            </w:r>
            <w:r w:rsidRPr="00BA1388">
              <w:rPr>
                <w:b/>
                <w:bCs/>
                <w:lang w:eastAsia="fr-CH"/>
              </w:rPr>
              <w:t> </w:t>
            </w:r>
          </w:p>
        </w:tc>
        <w:tc>
          <w:tcPr>
            <w:tcW w:w="5902" w:type="dxa"/>
            <w:hideMark/>
          </w:tcPr>
          <w:p w14:paraId="79CED165" w14:textId="716EDF82" w:rsidR="00BA1388" w:rsidRPr="00BA1388" w:rsidRDefault="009E0A3B" w:rsidP="00BA1388">
            <w:pPr>
              <w:rPr>
                <w:rFonts w:ascii="Times New Roman" w:hAnsi="Times New Roman"/>
                <w:szCs w:val="24"/>
                <w:lang w:eastAsia="fr-CH"/>
              </w:rPr>
            </w:pPr>
            <w:r>
              <w:rPr>
                <w:rFonts w:ascii="Times New Roman" w:hAnsi="Times New Roman"/>
                <w:szCs w:val="24"/>
                <w:lang w:eastAsia="fr-CH"/>
              </w:rPr>
              <w:t>Aucun</w:t>
            </w:r>
          </w:p>
        </w:tc>
      </w:tr>
      <w:tr w:rsidR="007C1D70" w:rsidRPr="00BA1388" w14:paraId="4D927A0D" w14:textId="77777777" w:rsidTr="007C1D70">
        <w:trPr>
          <w:cnfStyle w:val="000000100000" w:firstRow="0" w:lastRow="0" w:firstColumn="0" w:lastColumn="0" w:oddVBand="0" w:evenVBand="0" w:oddHBand="1" w:evenHBand="0" w:firstRowFirstColumn="0" w:firstRowLastColumn="0" w:lastRowFirstColumn="0" w:lastRowLastColumn="0"/>
        </w:trPr>
        <w:tc>
          <w:tcPr>
            <w:tcW w:w="3114" w:type="dxa"/>
            <w:hideMark/>
          </w:tcPr>
          <w:p w14:paraId="606E009D" w14:textId="77777777" w:rsidR="00BA1388" w:rsidRPr="00BA1388" w:rsidRDefault="00BA1388" w:rsidP="00BA1388">
            <w:pPr>
              <w:rPr>
                <w:rFonts w:ascii="Times New Roman" w:hAnsi="Times New Roman"/>
                <w:b/>
                <w:bCs/>
                <w:szCs w:val="24"/>
                <w:lang w:eastAsia="fr-CH"/>
              </w:rPr>
            </w:pPr>
            <w:r w:rsidRPr="00BA1388">
              <w:rPr>
                <w:b/>
                <w:bCs/>
                <w:lang w:val="fr-FR" w:eastAsia="fr-CH"/>
              </w:rPr>
              <w:t>Fichiers sources</w:t>
            </w:r>
            <w:r w:rsidRPr="00BA1388">
              <w:rPr>
                <w:b/>
                <w:bCs/>
                <w:lang w:eastAsia="fr-CH"/>
              </w:rPr>
              <w:t> </w:t>
            </w:r>
          </w:p>
        </w:tc>
        <w:tc>
          <w:tcPr>
            <w:tcW w:w="5902" w:type="dxa"/>
            <w:hideMark/>
          </w:tcPr>
          <w:p w14:paraId="771A78A0" w14:textId="2E8E60AF" w:rsidR="00BA1388" w:rsidRPr="00BA1388" w:rsidRDefault="009E0A3B" w:rsidP="00BA1388">
            <w:pPr>
              <w:rPr>
                <w:rFonts w:ascii="Times New Roman" w:hAnsi="Times New Roman"/>
                <w:szCs w:val="24"/>
                <w:lang w:eastAsia="fr-CH"/>
              </w:rPr>
            </w:pPr>
            <w:r>
              <w:rPr>
                <w:rFonts w:ascii="Times New Roman" w:hAnsi="Times New Roman"/>
                <w:szCs w:val="24"/>
                <w:lang w:eastAsia="fr-CH"/>
              </w:rPr>
              <w:t>Aucun</w:t>
            </w:r>
          </w:p>
        </w:tc>
      </w:tr>
      <w:tr w:rsidR="007C1D70" w:rsidRPr="00BA1388" w14:paraId="29489F70" w14:textId="77777777" w:rsidTr="007C1D70">
        <w:trPr>
          <w:cnfStyle w:val="000000010000" w:firstRow="0" w:lastRow="0" w:firstColumn="0" w:lastColumn="0" w:oddVBand="0" w:evenVBand="0" w:oddHBand="0" w:evenHBand="1" w:firstRowFirstColumn="0" w:firstRowLastColumn="0" w:lastRowFirstColumn="0" w:lastRowLastColumn="0"/>
        </w:trPr>
        <w:tc>
          <w:tcPr>
            <w:tcW w:w="3114" w:type="dxa"/>
            <w:hideMark/>
          </w:tcPr>
          <w:p w14:paraId="07611C2B" w14:textId="77777777" w:rsidR="00BA1388" w:rsidRPr="00BA1388" w:rsidRDefault="00BA1388" w:rsidP="00BA1388">
            <w:pPr>
              <w:rPr>
                <w:rFonts w:ascii="Times New Roman" w:hAnsi="Times New Roman"/>
                <w:b/>
                <w:bCs/>
                <w:szCs w:val="24"/>
                <w:lang w:eastAsia="fr-CH"/>
              </w:rPr>
            </w:pPr>
            <w:r w:rsidRPr="00BA1388">
              <w:rPr>
                <w:b/>
                <w:bCs/>
                <w:lang w:val="fr-FR" w:eastAsia="fr-CH"/>
              </w:rPr>
              <w:t>A produire</w:t>
            </w:r>
            <w:r w:rsidRPr="00BA1388">
              <w:rPr>
                <w:b/>
                <w:bCs/>
                <w:lang w:eastAsia="fr-CH"/>
              </w:rPr>
              <w:t> </w:t>
            </w:r>
          </w:p>
        </w:tc>
        <w:tc>
          <w:tcPr>
            <w:tcW w:w="5902" w:type="dxa"/>
            <w:hideMark/>
          </w:tcPr>
          <w:p w14:paraId="33825020" w14:textId="77777777" w:rsidR="00BA1388" w:rsidRPr="00BA1388" w:rsidRDefault="00BA1388" w:rsidP="00BA1388">
            <w:pPr>
              <w:rPr>
                <w:rFonts w:ascii="Times New Roman" w:hAnsi="Times New Roman"/>
                <w:szCs w:val="24"/>
                <w:lang w:eastAsia="fr-CH"/>
              </w:rPr>
            </w:pPr>
            <w:r w:rsidRPr="00BA1388">
              <w:rPr>
                <w:lang w:val="fr-FR" w:eastAsia="fr-CH"/>
              </w:rPr>
              <w:t>Répondre aux questions directement dans ce document</w:t>
            </w:r>
            <w:r w:rsidRPr="00BA1388">
              <w:rPr>
                <w:lang w:eastAsia="fr-CH"/>
              </w:rPr>
              <w:t> </w:t>
            </w:r>
          </w:p>
        </w:tc>
      </w:tr>
      <w:tr w:rsidR="007C1D70" w:rsidRPr="00BA1388" w14:paraId="4DCEA34F" w14:textId="77777777" w:rsidTr="007C1D70">
        <w:trPr>
          <w:cnfStyle w:val="000000100000" w:firstRow="0" w:lastRow="0" w:firstColumn="0" w:lastColumn="0" w:oddVBand="0" w:evenVBand="0" w:oddHBand="1" w:evenHBand="0" w:firstRowFirstColumn="0" w:firstRowLastColumn="0" w:lastRowFirstColumn="0" w:lastRowLastColumn="0"/>
        </w:trPr>
        <w:tc>
          <w:tcPr>
            <w:tcW w:w="3114" w:type="dxa"/>
            <w:hideMark/>
          </w:tcPr>
          <w:p w14:paraId="62194DEC" w14:textId="77777777" w:rsidR="00BA1388" w:rsidRPr="00DE3DBE" w:rsidRDefault="00BA1388" w:rsidP="00BA1388">
            <w:pPr>
              <w:rPr>
                <w:rFonts w:ascii="Times New Roman" w:hAnsi="Times New Roman"/>
                <w:b/>
                <w:bCs/>
                <w:szCs w:val="24"/>
                <w:lang w:eastAsia="fr-CH"/>
              </w:rPr>
            </w:pPr>
            <w:r w:rsidRPr="00BA1388">
              <w:rPr>
                <w:lang w:eastAsia="fr-CH"/>
              </w:rPr>
              <w:t> </w:t>
            </w:r>
            <w:r w:rsidR="00DE3DBE">
              <w:rPr>
                <w:b/>
                <w:bCs/>
                <w:lang w:eastAsia="fr-CH"/>
              </w:rPr>
              <w:t>Moyens d’aide</w:t>
            </w:r>
          </w:p>
        </w:tc>
        <w:tc>
          <w:tcPr>
            <w:tcW w:w="5902" w:type="dxa"/>
            <w:hideMark/>
          </w:tcPr>
          <w:p w14:paraId="7FCF4673" w14:textId="62730081" w:rsidR="00BA1388" w:rsidRPr="00BA1388" w:rsidRDefault="00BA1388" w:rsidP="00BA1388">
            <w:pPr>
              <w:rPr>
                <w:rFonts w:ascii="Times New Roman" w:hAnsi="Times New Roman"/>
                <w:szCs w:val="24"/>
                <w:lang w:eastAsia="fr-CH"/>
              </w:rPr>
            </w:pPr>
            <w:r w:rsidRPr="00BA1388">
              <w:rPr>
                <w:lang w:eastAsia="fr-CH"/>
              </w:rPr>
              <w:t> </w:t>
            </w:r>
            <w:r w:rsidR="009E0A3B">
              <w:rPr>
                <w:lang w:eastAsia="fr-CH"/>
              </w:rPr>
              <w:t>Rien</w:t>
            </w:r>
          </w:p>
        </w:tc>
      </w:tr>
      <w:tr w:rsidR="0004273F" w:rsidRPr="00BA1388" w14:paraId="64E8973C" w14:textId="77777777" w:rsidTr="007C1D70">
        <w:trPr>
          <w:cnfStyle w:val="000000010000" w:firstRow="0" w:lastRow="0" w:firstColumn="0" w:lastColumn="0" w:oddVBand="0" w:evenVBand="0" w:oddHBand="0" w:evenHBand="1" w:firstRowFirstColumn="0" w:firstRowLastColumn="0" w:lastRowFirstColumn="0" w:lastRowLastColumn="0"/>
        </w:trPr>
        <w:tc>
          <w:tcPr>
            <w:tcW w:w="3114" w:type="dxa"/>
          </w:tcPr>
          <w:p w14:paraId="0B5BFF85" w14:textId="77777777" w:rsidR="0004273F" w:rsidRPr="00BA1388" w:rsidRDefault="0004273F" w:rsidP="00BA1388">
            <w:pPr>
              <w:rPr>
                <w:lang w:eastAsia="fr-CH"/>
              </w:rPr>
            </w:pPr>
            <w:r w:rsidRPr="00BA1388">
              <w:rPr>
                <w:lang w:eastAsia="fr-CH"/>
              </w:rPr>
              <w:t> </w:t>
            </w:r>
            <w:r>
              <w:rPr>
                <w:b/>
                <w:bCs/>
                <w:lang w:eastAsia="fr-CH"/>
              </w:rPr>
              <w:t>Changelog</w:t>
            </w:r>
          </w:p>
        </w:tc>
        <w:tc>
          <w:tcPr>
            <w:tcW w:w="5902" w:type="dxa"/>
          </w:tcPr>
          <w:p w14:paraId="6366416B" w14:textId="56C87496" w:rsidR="0004273F" w:rsidRPr="00BA1388" w:rsidRDefault="002E56C5" w:rsidP="00BA1388">
            <w:pPr>
              <w:rPr>
                <w:lang w:eastAsia="fr-CH"/>
              </w:rPr>
            </w:pPr>
            <w:r>
              <w:rPr>
                <w:lang w:eastAsia="fr-CH"/>
              </w:rPr>
              <w:t>Bulle DevOps</w:t>
            </w:r>
          </w:p>
        </w:tc>
      </w:tr>
    </w:tbl>
    <w:p w14:paraId="49FED22E" w14:textId="77777777" w:rsidR="00BA1388" w:rsidRPr="00BA1388" w:rsidRDefault="00BA1388" w:rsidP="00BA1388">
      <w:pPr>
        <w:spacing w:before="100" w:beforeAutospacing="1" w:after="100" w:afterAutospacing="1" w:line="240" w:lineRule="auto"/>
        <w:textAlignment w:val="baseline"/>
        <w:rPr>
          <w:rFonts w:ascii="Times New Roman" w:eastAsia="Times New Roman" w:hAnsi="Times New Roman" w:cs="Times New Roman"/>
          <w:szCs w:val="24"/>
          <w:lang w:eastAsia="fr-CH"/>
        </w:rPr>
      </w:pPr>
      <w:r w:rsidRPr="00BA1388">
        <w:rPr>
          <w:rFonts w:eastAsia="Times New Roman" w:cs="Times New Roman"/>
          <w:lang w:eastAsia="fr-CH"/>
        </w:rPr>
        <w:t> </w:t>
      </w:r>
    </w:p>
    <w:p w14:paraId="4FD21271" w14:textId="77777777" w:rsidR="007C1D70" w:rsidRDefault="007C1D70">
      <w:pPr>
        <w:spacing w:line="259" w:lineRule="auto"/>
      </w:pPr>
      <w:r>
        <w:br w:type="page"/>
      </w:r>
    </w:p>
    <w:p w14:paraId="5785E91E" w14:textId="2E2104E1" w:rsidR="00DE3DBE" w:rsidRDefault="00EF7CE3" w:rsidP="00DE3DBE">
      <w:pPr>
        <w:pStyle w:val="Titre1"/>
      </w:pPr>
      <w:r>
        <w:lastRenderedPageBreak/>
        <w:t>Question</w:t>
      </w:r>
      <w:r w:rsidR="00C64E33">
        <w:t xml:space="preserve"> 1</w:t>
      </w:r>
    </w:p>
    <w:p w14:paraId="474D1185" w14:textId="619FC572" w:rsidR="00DE3DBE" w:rsidRDefault="009E0A3B" w:rsidP="00DE3DBE">
      <w:r>
        <w:t>Connecte</w:t>
      </w:r>
      <w:r w:rsidR="00A212A4">
        <w:t>r</w:t>
      </w:r>
      <w:r>
        <w:t xml:space="preserve"> à l’aide d’une flèche le</w:t>
      </w:r>
      <w:r w:rsidR="00EF7CE3">
        <w:t xml:space="preserve"> nom du risque à sa définition.</w:t>
      </w:r>
    </w:p>
    <w:tbl>
      <w:tblPr>
        <w:tblStyle w:val="Grilledutableau"/>
        <w:tblW w:w="0" w:type="auto"/>
        <w:tblLook w:val="04A0" w:firstRow="1" w:lastRow="0" w:firstColumn="1" w:lastColumn="0" w:noHBand="0" w:noVBand="1"/>
      </w:tblPr>
      <w:tblGrid>
        <w:gridCol w:w="2405"/>
        <w:gridCol w:w="992"/>
        <w:gridCol w:w="5619"/>
      </w:tblGrid>
      <w:tr w:rsidR="009E0A3B" w14:paraId="04D2AC39" w14:textId="77777777" w:rsidTr="00EC57B3">
        <w:tc>
          <w:tcPr>
            <w:tcW w:w="2405" w:type="dxa"/>
          </w:tcPr>
          <w:p w14:paraId="6D25630C" w14:textId="6C52E33E" w:rsidR="009E0A3B" w:rsidRPr="00EC57B3" w:rsidRDefault="004C45C7" w:rsidP="00DE3DBE">
            <w:pPr>
              <w:rPr>
                <w:sz w:val="20"/>
                <w:szCs w:val="20"/>
              </w:rPr>
            </w:pPr>
            <w:r w:rsidRPr="00EC57B3">
              <w:rPr>
                <w:sz w:val="20"/>
                <w:szCs w:val="20"/>
              </w:rPr>
              <w:t>Broken Access Control</w:t>
            </w:r>
          </w:p>
        </w:tc>
        <w:tc>
          <w:tcPr>
            <w:tcW w:w="992" w:type="dxa"/>
            <w:tcBorders>
              <w:top w:val="nil"/>
              <w:bottom w:val="nil"/>
            </w:tcBorders>
          </w:tcPr>
          <w:p w14:paraId="4E55B4CD" w14:textId="77777777" w:rsidR="009E0A3B" w:rsidRDefault="009E0A3B" w:rsidP="00DE3DBE"/>
        </w:tc>
        <w:tc>
          <w:tcPr>
            <w:tcW w:w="5619" w:type="dxa"/>
          </w:tcPr>
          <w:p w14:paraId="4905F69C" w14:textId="7C20F143" w:rsidR="009E0A3B" w:rsidRPr="00EC57B3" w:rsidRDefault="00F14DC8" w:rsidP="00DE3DBE">
            <w:pPr>
              <w:rPr>
                <w:sz w:val="16"/>
                <w:szCs w:val="16"/>
              </w:rPr>
            </w:pPr>
            <w:r w:rsidRPr="00EC57B3">
              <w:rPr>
                <w:sz w:val="16"/>
                <w:szCs w:val="16"/>
              </w:rPr>
              <w:t>Erreurs dans la mise en œuvre de mécanismes de journalisation et de surveillance appropriés, ce qui peut rendre difficile la détection rapide des incidents de sécurité ou l'analyse des activités suspectes</w:t>
            </w:r>
          </w:p>
        </w:tc>
      </w:tr>
      <w:tr w:rsidR="009E0A3B" w14:paraId="34BCC8B2" w14:textId="77777777" w:rsidTr="00EC57B3">
        <w:tc>
          <w:tcPr>
            <w:tcW w:w="2405" w:type="dxa"/>
          </w:tcPr>
          <w:p w14:paraId="2125A940" w14:textId="59106E21" w:rsidR="009E0A3B" w:rsidRPr="00EC57B3" w:rsidRDefault="004C45C7" w:rsidP="00DE3DBE">
            <w:pPr>
              <w:rPr>
                <w:sz w:val="20"/>
                <w:szCs w:val="20"/>
              </w:rPr>
            </w:pPr>
            <w:proofErr w:type="spellStart"/>
            <w:r w:rsidRPr="00EC57B3">
              <w:rPr>
                <w:sz w:val="20"/>
                <w:szCs w:val="20"/>
              </w:rPr>
              <w:t>Cryptographic</w:t>
            </w:r>
            <w:proofErr w:type="spellEnd"/>
            <w:r w:rsidRPr="00EC57B3">
              <w:rPr>
                <w:sz w:val="20"/>
                <w:szCs w:val="20"/>
              </w:rPr>
              <w:t xml:space="preserve"> </w:t>
            </w:r>
            <w:proofErr w:type="spellStart"/>
            <w:r w:rsidRPr="00EC57B3">
              <w:rPr>
                <w:sz w:val="20"/>
                <w:szCs w:val="20"/>
              </w:rPr>
              <w:t>Failures</w:t>
            </w:r>
            <w:proofErr w:type="spellEnd"/>
          </w:p>
        </w:tc>
        <w:tc>
          <w:tcPr>
            <w:tcW w:w="992" w:type="dxa"/>
            <w:tcBorders>
              <w:top w:val="nil"/>
              <w:bottom w:val="nil"/>
            </w:tcBorders>
          </w:tcPr>
          <w:p w14:paraId="3CDACBF9" w14:textId="77777777" w:rsidR="009E0A3B" w:rsidRDefault="009E0A3B" w:rsidP="00DE3DBE"/>
        </w:tc>
        <w:tc>
          <w:tcPr>
            <w:tcW w:w="5619" w:type="dxa"/>
          </w:tcPr>
          <w:p w14:paraId="30CFF37D" w14:textId="54C46469" w:rsidR="009E0A3B" w:rsidRPr="00EC57B3" w:rsidRDefault="003550E1" w:rsidP="00DE3DBE">
            <w:pPr>
              <w:rPr>
                <w:sz w:val="16"/>
                <w:szCs w:val="16"/>
              </w:rPr>
            </w:pPr>
            <w:r w:rsidRPr="00EC57B3">
              <w:rPr>
                <w:sz w:val="16"/>
                <w:szCs w:val="16"/>
              </w:rPr>
              <w:t>Vulnérabilités résultant de conceptions de sécurité faibles ou inexistantes au sein de l'architecture d'une application ou d'un système, ce qui rend difficile la mise en œuvre de contrôles de sécurité appropriés</w:t>
            </w:r>
          </w:p>
        </w:tc>
      </w:tr>
      <w:tr w:rsidR="009E0A3B" w14:paraId="11264BA5" w14:textId="77777777" w:rsidTr="00EC57B3">
        <w:tc>
          <w:tcPr>
            <w:tcW w:w="2405" w:type="dxa"/>
          </w:tcPr>
          <w:p w14:paraId="496C16AD" w14:textId="1E7ABBE7" w:rsidR="009E0A3B" w:rsidRPr="00EC57B3" w:rsidRDefault="004C45C7" w:rsidP="00DE3DBE">
            <w:pPr>
              <w:rPr>
                <w:sz w:val="20"/>
                <w:szCs w:val="20"/>
              </w:rPr>
            </w:pPr>
            <w:r w:rsidRPr="00EC57B3">
              <w:rPr>
                <w:sz w:val="20"/>
                <w:szCs w:val="20"/>
              </w:rPr>
              <w:t>Injection</w:t>
            </w:r>
          </w:p>
        </w:tc>
        <w:tc>
          <w:tcPr>
            <w:tcW w:w="992" w:type="dxa"/>
            <w:tcBorders>
              <w:top w:val="nil"/>
              <w:bottom w:val="nil"/>
            </w:tcBorders>
          </w:tcPr>
          <w:p w14:paraId="52AEC5A9" w14:textId="77777777" w:rsidR="009E0A3B" w:rsidRDefault="009E0A3B" w:rsidP="00DE3DBE"/>
        </w:tc>
        <w:tc>
          <w:tcPr>
            <w:tcW w:w="5619" w:type="dxa"/>
          </w:tcPr>
          <w:p w14:paraId="15E1C3EE" w14:textId="629FBD5F" w:rsidR="009E0A3B" w:rsidRPr="00EC57B3" w:rsidRDefault="00287181" w:rsidP="00DE3DBE">
            <w:pPr>
              <w:rPr>
                <w:sz w:val="16"/>
                <w:szCs w:val="16"/>
              </w:rPr>
            </w:pPr>
            <w:r w:rsidRPr="00EC57B3">
              <w:rPr>
                <w:sz w:val="16"/>
                <w:szCs w:val="16"/>
              </w:rPr>
              <w:t>Erreurs de configuration qui peuvent exposer involontairement des éléments de l'infrastructure, tels que des paramètres par défaut non sécurisés, des droits d'accès inappropriés ou des ports ouverts non nécessaires, pouvant être exploités par des attaquants.</w:t>
            </w:r>
          </w:p>
        </w:tc>
      </w:tr>
      <w:tr w:rsidR="009E0A3B" w14:paraId="6E30FF70" w14:textId="77777777" w:rsidTr="00EC57B3">
        <w:tc>
          <w:tcPr>
            <w:tcW w:w="2405" w:type="dxa"/>
          </w:tcPr>
          <w:p w14:paraId="0530A5AD" w14:textId="640D4C3C" w:rsidR="009E0A3B" w:rsidRPr="00EC57B3" w:rsidRDefault="004C45C7" w:rsidP="00DE3DBE">
            <w:pPr>
              <w:rPr>
                <w:sz w:val="20"/>
                <w:szCs w:val="20"/>
              </w:rPr>
            </w:pPr>
            <w:proofErr w:type="spellStart"/>
            <w:r w:rsidRPr="00EC57B3">
              <w:rPr>
                <w:sz w:val="20"/>
                <w:szCs w:val="20"/>
              </w:rPr>
              <w:t>Ins</w:t>
            </w:r>
            <w:r w:rsidR="00371EBB" w:rsidRPr="00EC57B3">
              <w:rPr>
                <w:sz w:val="20"/>
                <w:szCs w:val="20"/>
              </w:rPr>
              <w:t>ecure</w:t>
            </w:r>
            <w:proofErr w:type="spellEnd"/>
            <w:r w:rsidR="00371EBB" w:rsidRPr="00EC57B3">
              <w:rPr>
                <w:sz w:val="20"/>
                <w:szCs w:val="20"/>
              </w:rPr>
              <w:t xml:space="preserve"> Design</w:t>
            </w:r>
          </w:p>
        </w:tc>
        <w:tc>
          <w:tcPr>
            <w:tcW w:w="992" w:type="dxa"/>
            <w:tcBorders>
              <w:top w:val="nil"/>
              <w:bottom w:val="nil"/>
            </w:tcBorders>
          </w:tcPr>
          <w:p w14:paraId="3650A22F" w14:textId="77777777" w:rsidR="009E0A3B" w:rsidRDefault="009E0A3B" w:rsidP="00DE3DBE"/>
        </w:tc>
        <w:tc>
          <w:tcPr>
            <w:tcW w:w="5619" w:type="dxa"/>
          </w:tcPr>
          <w:p w14:paraId="4E6AB1BA" w14:textId="4CD28C28" w:rsidR="009E0A3B" w:rsidRPr="00EC57B3" w:rsidRDefault="00287181" w:rsidP="00DE3DBE">
            <w:pPr>
              <w:rPr>
                <w:sz w:val="16"/>
                <w:szCs w:val="16"/>
              </w:rPr>
            </w:pPr>
            <w:r w:rsidRPr="00EC57B3">
              <w:rPr>
                <w:sz w:val="16"/>
                <w:szCs w:val="16"/>
              </w:rPr>
              <w:t>Utilisation de composants logiciels obsolètes ou vulnérables au sein d'une application, ce qui peut entraîner l'exploitation de failles de sécurité connues dans ces composants</w:t>
            </w:r>
          </w:p>
        </w:tc>
      </w:tr>
      <w:tr w:rsidR="009E0A3B" w14:paraId="2F66F5FF" w14:textId="77777777" w:rsidTr="00EC57B3">
        <w:tc>
          <w:tcPr>
            <w:tcW w:w="2405" w:type="dxa"/>
          </w:tcPr>
          <w:p w14:paraId="68C467D7" w14:textId="07F5D2F2" w:rsidR="009E0A3B" w:rsidRPr="00EC57B3" w:rsidRDefault="00371EBB" w:rsidP="00DE3DBE">
            <w:pPr>
              <w:rPr>
                <w:sz w:val="20"/>
                <w:szCs w:val="20"/>
              </w:rPr>
            </w:pPr>
            <w:r w:rsidRPr="00EC57B3">
              <w:rPr>
                <w:sz w:val="20"/>
                <w:szCs w:val="20"/>
              </w:rPr>
              <w:t xml:space="preserve">Security </w:t>
            </w:r>
            <w:proofErr w:type="spellStart"/>
            <w:r w:rsidRPr="00EC57B3">
              <w:rPr>
                <w:sz w:val="20"/>
                <w:szCs w:val="20"/>
              </w:rPr>
              <w:t>Misconfiguration</w:t>
            </w:r>
            <w:proofErr w:type="spellEnd"/>
          </w:p>
        </w:tc>
        <w:tc>
          <w:tcPr>
            <w:tcW w:w="992" w:type="dxa"/>
            <w:tcBorders>
              <w:top w:val="nil"/>
              <w:bottom w:val="nil"/>
            </w:tcBorders>
          </w:tcPr>
          <w:p w14:paraId="51D0A28F" w14:textId="77777777" w:rsidR="009E0A3B" w:rsidRDefault="009E0A3B" w:rsidP="00DE3DBE"/>
        </w:tc>
        <w:tc>
          <w:tcPr>
            <w:tcW w:w="5619" w:type="dxa"/>
          </w:tcPr>
          <w:p w14:paraId="4BF920AA" w14:textId="6B531415" w:rsidR="009E0A3B" w:rsidRPr="00EC57B3" w:rsidRDefault="00C06889" w:rsidP="00DE3DBE">
            <w:pPr>
              <w:rPr>
                <w:sz w:val="16"/>
                <w:szCs w:val="16"/>
              </w:rPr>
            </w:pPr>
            <w:r w:rsidRPr="00EC57B3">
              <w:rPr>
                <w:sz w:val="16"/>
                <w:szCs w:val="16"/>
              </w:rPr>
              <w:t>Mauvaise gestion des contrôles d'accès dans une application ou un système, permettant à des utilisateurs non autorisés d'accéder à des ressources sensibles ou de modifier des données qu'ils ne sont pas autorisés à modifier.</w:t>
            </w:r>
          </w:p>
        </w:tc>
      </w:tr>
      <w:tr w:rsidR="009E0A3B" w14:paraId="2B1EA96B" w14:textId="77777777" w:rsidTr="00EC57B3">
        <w:tc>
          <w:tcPr>
            <w:tcW w:w="2405" w:type="dxa"/>
          </w:tcPr>
          <w:p w14:paraId="1BF8021E" w14:textId="18B92294" w:rsidR="009E0A3B" w:rsidRPr="00EC57B3" w:rsidRDefault="00371EBB" w:rsidP="00DE3DBE">
            <w:pPr>
              <w:rPr>
                <w:sz w:val="20"/>
                <w:szCs w:val="20"/>
              </w:rPr>
            </w:pPr>
            <w:proofErr w:type="spellStart"/>
            <w:r w:rsidRPr="00EC57B3">
              <w:rPr>
                <w:sz w:val="20"/>
                <w:szCs w:val="20"/>
              </w:rPr>
              <w:t>Vulnerable</w:t>
            </w:r>
            <w:proofErr w:type="spellEnd"/>
            <w:r w:rsidRPr="00EC57B3">
              <w:rPr>
                <w:sz w:val="20"/>
                <w:szCs w:val="20"/>
              </w:rPr>
              <w:t xml:space="preserve"> and </w:t>
            </w:r>
            <w:proofErr w:type="spellStart"/>
            <w:r w:rsidRPr="00EC57B3">
              <w:rPr>
                <w:sz w:val="20"/>
                <w:szCs w:val="20"/>
              </w:rPr>
              <w:t>outdated</w:t>
            </w:r>
            <w:proofErr w:type="spellEnd"/>
            <w:r w:rsidRPr="00EC57B3">
              <w:rPr>
                <w:sz w:val="20"/>
                <w:szCs w:val="20"/>
              </w:rPr>
              <w:t xml:space="preserve"> Components</w:t>
            </w:r>
          </w:p>
        </w:tc>
        <w:tc>
          <w:tcPr>
            <w:tcW w:w="992" w:type="dxa"/>
            <w:tcBorders>
              <w:top w:val="nil"/>
              <w:bottom w:val="nil"/>
            </w:tcBorders>
          </w:tcPr>
          <w:p w14:paraId="14760182" w14:textId="77777777" w:rsidR="009E0A3B" w:rsidRDefault="009E0A3B" w:rsidP="00DE3DBE"/>
        </w:tc>
        <w:tc>
          <w:tcPr>
            <w:tcW w:w="5619" w:type="dxa"/>
          </w:tcPr>
          <w:p w14:paraId="0E248C15" w14:textId="1EA29A8D" w:rsidR="009E0A3B" w:rsidRPr="00EC57B3" w:rsidRDefault="003550E1" w:rsidP="00DE3DBE">
            <w:pPr>
              <w:rPr>
                <w:sz w:val="16"/>
                <w:szCs w:val="16"/>
              </w:rPr>
            </w:pPr>
            <w:r w:rsidRPr="00EC57B3">
              <w:rPr>
                <w:sz w:val="16"/>
                <w:szCs w:val="16"/>
              </w:rPr>
              <w:t>Vulnérabilités qui permettent à un attaquant d'injecter du code malveillant (comme du code SQL, NoSQL, OS ou LDAP) dans une application ou une base de données, pouvant entraîner l'exécution de commandes non autorisées ou la récupération de données sensible</w:t>
            </w:r>
          </w:p>
        </w:tc>
      </w:tr>
      <w:tr w:rsidR="009E0A3B" w14:paraId="5E20C92D" w14:textId="77777777" w:rsidTr="00EC57B3">
        <w:tc>
          <w:tcPr>
            <w:tcW w:w="2405" w:type="dxa"/>
          </w:tcPr>
          <w:p w14:paraId="525632A8" w14:textId="10ADB8A9" w:rsidR="009E0A3B" w:rsidRPr="00EC57B3" w:rsidRDefault="0058260C" w:rsidP="00DE3DBE">
            <w:pPr>
              <w:rPr>
                <w:sz w:val="20"/>
                <w:szCs w:val="20"/>
              </w:rPr>
            </w:pPr>
            <w:r w:rsidRPr="00EC57B3">
              <w:rPr>
                <w:sz w:val="20"/>
                <w:szCs w:val="20"/>
              </w:rPr>
              <w:t xml:space="preserve">Identification and Authentification </w:t>
            </w:r>
            <w:proofErr w:type="spellStart"/>
            <w:r w:rsidRPr="00EC57B3">
              <w:rPr>
                <w:sz w:val="20"/>
                <w:szCs w:val="20"/>
              </w:rPr>
              <w:t>Failures</w:t>
            </w:r>
            <w:proofErr w:type="spellEnd"/>
          </w:p>
        </w:tc>
        <w:tc>
          <w:tcPr>
            <w:tcW w:w="992" w:type="dxa"/>
            <w:tcBorders>
              <w:top w:val="nil"/>
              <w:bottom w:val="nil"/>
            </w:tcBorders>
          </w:tcPr>
          <w:p w14:paraId="4FE22721" w14:textId="77777777" w:rsidR="009E0A3B" w:rsidRDefault="009E0A3B" w:rsidP="00DE3DBE"/>
        </w:tc>
        <w:tc>
          <w:tcPr>
            <w:tcW w:w="5619" w:type="dxa"/>
          </w:tcPr>
          <w:p w14:paraId="3203FD7F" w14:textId="4689973C" w:rsidR="009E0A3B" w:rsidRPr="00EC57B3" w:rsidRDefault="003E2BCA" w:rsidP="00DE3DBE">
            <w:pPr>
              <w:rPr>
                <w:sz w:val="16"/>
                <w:szCs w:val="16"/>
              </w:rPr>
            </w:pPr>
            <w:r w:rsidRPr="00EC57B3">
              <w:rPr>
                <w:sz w:val="16"/>
                <w:szCs w:val="16"/>
              </w:rPr>
              <w:t>Erreurs dans la mise en œuvre de techniques de chiffrement et de hachage, ce qui peut conduire à des fuites de données sensibles ou à des attaques de contournement du chiffrement.</w:t>
            </w:r>
          </w:p>
        </w:tc>
      </w:tr>
      <w:tr w:rsidR="009E0A3B" w14:paraId="57F069F1" w14:textId="77777777" w:rsidTr="00EC57B3">
        <w:tc>
          <w:tcPr>
            <w:tcW w:w="2405" w:type="dxa"/>
          </w:tcPr>
          <w:p w14:paraId="2AD2AD99" w14:textId="4FFE7354" w:rsidR="009E0A3B" w:rsidRPr="00EC57B3" w:rsidRDefault="00C64E33" w:rsidP="00DE3DBE">
            <w:pPr>
              <w:rPr>
                <w:sz w:val="20"/>
                <w:szCs w:val="20"/>
                <w:lang w:val="en-US"/>
              </w:rPr>
            </w:pPr>
            <w:r w:rsidRPr="00EC57B3">
              <w:rPr>
                <w:sz w:val="20"/>
                <w:szCs w:val="20"/>
                <w:lang w:val="en-US"/>
              </w:rPr>
              <w:t>Software and Data Integrity Failures</w:t>
            </w:r>
          </w:p>
        </w:tc>
        <w:tc>
          <w:tcPr>
            <w:tcW w:w="992" w:type="dxa"/>
            <w:tcBorders>
              <w:top w:val="nil"/>
              <w:bottom w:val="nil"/>
            </w:tcBorders>
          </w:tcPr>
          <w:p w14:paraId="6F5A8FC9" w14:textId="77777777" w:rsidR="009E0A3B" w:rsidRPr="00C64E33" w:rsidRDefault="009E0A3B" w:rsidP="00DE3DBE">
            <w:pPr>
              <w:rPr>
                <w:lang w:val="en-US"/>
              </w:rPr>
            </w:pPr>
          </w:p>
        </w:tc>
        <w:tc>
          <w:tcPr>
            <w:tcW w:w="5619" w:type="dxa"/>
          </w:tcPr>
          <w:p w14:paraId="004AFD9F" w14:textId="55A60110" w:rsidR="009E0A3B" w:rsidRPr="00EC57B3" w:rsidRDefault="00464994" w:rsidP="00DE3DBE">
            <w:pPr>
              <w:rPr>
                <w:sz w:val="16"/>
                <w:szCs w:val="16"/>
              </w:rPr>
            </w:pPr>
            <w:r w:rsidRPr="00EC57B3">
              <w:rPr>
                <w:sz w:val="16"/>
                <w:szCs w:val="16"/>
              </w:rPr>
              <w:t>Vulnérabilités liées à l'authentification des utilisateurs, telles que la mauvaise gestion des mots de passe, la transmission non sécurisée des informations d'identification, ou la faible fiabilité des mécanismes d'authentification</w:t>
            </w:r>
          </w:p>
        </w:tc>
      </w:tr>
      <w:tr w:rsidR="009E0A3B" w14:paraId="0EF13B83" w14:textId="77777777" w:rsidTr="00EC57B3">
        <w:tc>
          <w:tcPr>
            <w:tcW w:w="2405" w:type="dxa"/>
          </w:tcPr>
          <w:p w14:paraId="3D1D30B3" w14:textId="34C4C3F0" w:rsidR="009E0A3B" w:rsidRPr="00EC57B3" w:rsidRDefault="00C64E33" w:rsidP="00DE3DBE">
            <w:pPr>
              <w:rPr>
                <w:sz w:val="20"/>
                <w:szCs w:val="20"/>
                <w:lang w:val="en-US"/>
              </w:rPr>
            </w:pPr>
            <w:r w:rsidRPr="00EC57B3">
              <w:rPr>
                <w:sz w:val="20"/>
                <w:szCs w:val="20"/>
                <w:lang w:val="en-US"/>
              </w:rPr>
              <w:t>Security Logging and Monitoring Failures</w:t>
            </w:r>
          </w:p>
        </w:tc>
        <w:tc>
          <w:tcPr>
            <w:tcW w:w="992" w:type="dxa"/>
            <w:tcBorders>
              <w:top w:val="nil"/>
              <w:bottom w:val="nil"/>
            </w:tcBorders>
          </w:tcPr>
          <w:p w14:paraId="23E20557" w14:textId="77777777" w:rsidR="009E0A3B" w:rsidRPr="00C64E33" w:rsidRDefault="009E0A3B" w:rsidP="00DE3DBE">
            <w:pPr>
              <w:rPr>
                <w:lang w:val="en-US"/>
              </w:rPr>
            </w:pPr>
          </w:p>
        </w:tc>
        <w:tc>
          <w:tcPr>
            <w:tcW w:w="5619" w:type="dxa"/>
          </w:tcPr>
          <w:p w14:paraId="30F3AAEE" w14:textId="3222A333" w:rsidR="009E0A3B" w:rsidRPr="00EC57B3" w:rsidRDefault="001D4148" w:rsidP="00DE3DBE">
            <w:pPr>
              <w:rPr>
                <w:sz w:val="16"/>
                <w:szCs w:val="16"/>
              </w:rPr>
            </w:pPr>
            <w:r w:rsidRPr="00EC57B3">
              <w:rPr>
                <w:sz w:val="16"/>
                <w:szCs w:val="16"/>
              </w:rPr>
              <w:t>Vulnérabilité qui permet à un attaquant de forcer le serveur à effectuer des requêtes vers des ressources internes ou externes, pouvant entraîner l'exposition de données sensibles ou l'exploitation de services internes.</w:t>
            </w:r>
          </w:p>
        </w:tc>
      </w:tr>
      <w:tr w:rsidR="009E0A3B" w14:paraId="543E896D" w14:textId="77777777" w:rsidTr="00EC57B3">
        <w:tc>
          <w:tcPr>
            <w:tcW w:w="2405" w:type="dxa"/>
          </w:tcPr>
          <w:p w14:paraId="5784DC44" w14:textId="18F43C15" w:rsidR="009E0A3B" w:rsidRPr="00EC57B3" w:rsidRDefault="00C64E33" w:rsidP="00DE3DBE">
            <w:pPr>
              <w:rPr>
                <w:sz w:val="20"/>
                <w:szCs w:val="20"/>
                <w:lang w:val="en-US"/>
              </w:rPr>
            </w:pPr>
            <w:r w:rsidRPr="00EC57B3">
              <w:rPr>
                <w:sz w:val="20"/>
                <w:szCs w:val="20"/>
                <w:lang w:val="en-US"/>
              </w:rPr>
              <w:t>Server-Side Request Forgery (SSRF)</w:t>
            </w:r>
          </w:p>
        </w:tc>
        <w:tc>
          <w:tcPr>
            <w:tcW w:w="992" w:type="dxa"/>
            <w:tcBorders>
              <w:top w:val="nil"/>
              <w:bottom w:val="nil"/>
            </w:tcBorders>
          </w:tcPr>
          <w:p w14:paraId="1F030814" w14:textId="77777777" w:rsidR="009E0A3B" w:rsidRPr="00C64E33" w:rsidRDefault="009E0A3B" w:rsidP="00DE3DBE">
            <w:pPr>
              <w:rPr>
                <w:lang w:val="en-US"/>
              </w:rPr>
            </w:pPr>
          </w:p>
        </w:tc>
        <w:tc>
          <w:tcPr>
            <w:tcW w:w="5619" w:type="dxa"/>
          </w:tcPr>
          <w:p w14:paraId="5259A5E8" w14:textId="15F1B530" w:rsidR="009E0A3B" w:rsidRPr="00EC57B3" w:rsidRDefault="001D4148" w:rsidP="00DE3DBE">
            <w:pPr>
              <w:rPr>
                <w:sz w:val="16"/>
                <w:szCs w:val="16"/>
              </w:rPr>
            </w:pPr>
            <w:r w:rsidRPr="00EC57B3">
              <w:rPr>
                <w:sz w:val="16"/>
                <w:szCs w:val="16"/>
              </w:rPr>
              <w:t>Vulnérabilités qui permettent à un attaquant de modifier ou de corrompre des données stockées dans une application ou un système, compromettant ainsi l'intégrité des données et pouvant entraîner des résultats indésirables ou malveillants.</w:t>
            </w:r>
          </w:p>
        </w:tc>
      </w:tr>
    </w:tbl>
    <w:p w14:paraId="61D37FD6" w14:textId="295EC37D" w:rsidR="002E56C5" w:rsidRDefault="002E56C5" w:rsidP="00A212A4">
      <w:pPr>
        <w:pStyle w:val="Titre1"/>
      </w:pPr>
      <w:r>
        <w:t>Liens et références</w:t>
      </w:r>
    </w:p>
    <w:p w14:paraId="685F2C66" w14:textId="285E057C" w:rsidR="002E56C5" w:rsidRDefault="00114523" w:rsidP="002E56C5">
      <w:hyperlink r:id="rId10" w:history="1">
        <w:r w:rsidRPr="0052489E">
          <w:rPr>
            <w:rStyle w:val="Lienhypertexte"/>
          </w:rPr>
          <w:t>https://owasp.org/www-project-top-ten/</w:t>
        </w:r>
      </w:hyperlink>
    </w:p>
    <w:sectPr w:rsidR="002E56C5" w:rsidSect="00620EA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88573" w14:textId="77777777" w:rsidR="008B3601" w:rsidRDefault="008B3601" w:rsidP="00DE3DBE">
      <w:pPr>
        <w:spacing w:after="0" w:line="240" w:lineRule="auto"/>
      </w:pPr>
      <w:r>
        <w:separator/>
      </w:r>
    </w:p>
  </w:endnote>
  <w:endnote w:type="continuationSeparator" w:id="0">
    <w:p w14:paraId="110BDDE3" w14:textId="77777777" w:rsidR="008B3601" w:rsidRDefault="008B3601" w:rsidP="00DE3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top w:val="single" w:sz="4" w:space="0" w:color="auto"/>
      </w:tblBorders>
      <w:tblLook w:val="01E0" w:firstRow="1" w:lastRow="1" w:firstColumn="1" w:lastColumn="1" w:noHBand="0" w:noVBand="0"/>
    </w:tblPr>
    <w:tblGrid>
      <w:gridCol w:w="3684"/>
      <w:gridCol w:w="1116"/>
      <w:gridCol w:w="4226"/>
    </w:tblGrid>
    <w:tr w:rsidR="0004273F" w:rsidRPr="0070276F" w14:paraId="2274E3E1" w14:textId="77777777" w:rsidTr="007B4D48">
      <w:trPr>
        <w:trHeight w:hRule="exact" w:val="227"/>
        <w:jc w:val="center"/>
      </w:trPr>
      <w:tc>
        <w:tcPr>
          <w:tcW w:w="3684" w:type="dxa"/>
          <w:vAlign w:val="bottom"/>
        </w:tcPr>
        <w:p w14:paraId="0CA19A9F" w14:textId="21811F08" w:rsidR="0004273F" w:rsidRPr="002E56C5" w:rsidRDefault="002E56C5" w:rsidP="0004273F">
          <w:pPr>
            <w:pStyle w:val="-Pieddepage"/>
            <w:rPr>
              <w:rFonts w:cs="Arial"/>
              <w:szCs w:val="16"/>
              <w:lang w:val="fr-CH"/>
            </w:rPr>
          </w:pPr>
          <w:r w:rsidRPr="002E56C5">
            <w:rPr>
              <w:rFonts w:cs="Arial"/>
              <w:szCs w:val="16"/>
              <w:lang w:val="fr-CH"/>
            </w:rPr>
            <w:t>OO1-Reconnaitre les menaces a</w:t>
          </w:r>
          <w:r>
            <w:rPr>
              <w:rFonts w:cs="Arial"/>
              <w:szCs w:val="16"/>
              <w:lang w:val="fr-CH"/>
            </w:rPr>
            <w:t>ctuelles</w:t>
          </w:r>
        </w:p>
      </w:tc>
      <w:tc>
        <w:tcPr>
          <w:tcW w:w="1116" w:type="dxa"/>
          <w:vAlign w:val="center"/>
        </w:tcPr>
        <w:p w14:paraId="2EB5745E" w14:textId="77777777" w:rsidR="0004273F" w:rsidRPr="0027637C" w:rsidRDefault="0004273F" w:rsidP="0004273F">
          <w:pPr>
            <w:pStyle w:val="-Pieddepage"/>
            <w:jc w:val="center"/>
            <w:rPr>
              <w:rFonts w:cs="Arial"/>
              <w:szCs w:val="16"/>
              <w:lang w:val="de-CH"/>
            </w:rPr>
          </w:pPr>
          <w:r w:rsidRPr="00B13424">
            <w:rPr>
              <w:rFonts w:cs="Arial"/>
              <w:szCs w:val="16"/>
            </w:rPr>
            <w:t xml:space="preserve">Page </w:t>
          </w:r>
          <w:r w:rsidRPr="00B13424">
            <w:rPr>
              <w:rStyle w:val="Numrodepage"/>
              <w:rFonts w:cs="Arial"/>
              <w:szCs w:val="16"/>
            </w:rPr>
            <w:fldChar w:fldCharType="begin"/>
          </w:r>
          <w:r w:rsidRPr="00B13424">
            <w:rPr>
              <w:rStyle w:val="Numrodepage"/>
              <w:rFonts w:cs="Arial"/>
              <w:szCs w:val="16"/>
            </w:rPr>
            <w:instrText xml:space="preserve"> PAGE </w:instrText>
          </w:r>
          <w:r w:rsidRPr="00B13424">
            <w:rPr>
              <w:rStyle w:val="Numrodepage"/>
              <w:rFonts w:cs="Arial"/>
              <w:szCs w:val="16"/>
            </w:rPr>
            <w:fldChar w:fldCharType="separate"/>
          </w:r>
          <w:r>
            <w:rPr>
              <w:rStyle w:val="Numrodepage"/>
              <w:rFonts w:cs="Arial"/>
              <w:noProof/>
              <w:szCs w:val="16"/>
            </w:rPr>
            <w:t>2</w:t>
          </w:r>
          <w:r w:rsidRPr="00B13424">
            <w:rPr>
              <w:rStyle w:val="Numrodepage"/>
              <w:rFonts w:cs="Arial"/>
              <w:szCs w:val="16"/>
            </w:rPr>
            <w:fldChar w:fldCharType="end"/>
          </w:r>
          <w:r>
            <w:rPr>
              <w:rStyle w:val="Numrodepage"/>
              <w:rFonts w:cs="Arial"/>
              <w:szCs w:val="16"/>
            </w:rPr>
            <w:t>/</w:t>
          </w:r>
          <w:r>
            <w:rPr>
              <w:rStyle w:val="Numrodepage"/>
              <w:rFonts w:cs="Arial"/>
              <w:szCs w:val="16"/>
            </w:rPr>
            <w:fldChar w:fldCharType="begin"/>
          </w:r>
          <w:r>
            <w:rPr>
              <w:rStyle w:val="Numrodepage"/>
              <w:rFonts w:cs="Arial"/>
              <w:szCs w:val="16"/>
            </w:rPr>
            <w:instrText xml:space="preserve"> NUMPAGES   \* MERGEFORMAT </w:instrText>
          </w:r>
          <w:r>
            <w:rPr>
              <w:rStyle w:val="Numrodepage"/>
              <w:rFonts w:cs="Arial"/>
              <w:szCs w:val="16"/>
            </w:rPr>
            <w:fldChar w:fldCharType="separate"/>
          </w:r>
          <w:r>
            <w:rPr>
              <w:rStyle w:val="Numrodepage"/>
              <w:rFonts w:cs="Arial"/>
              <w:noProof/>
              <w:szCs w:val="16"/>
            </w:rPr>
            <w:t>4</w:t>
          </w:r>
          <w:r>
            <w:rPr>
              <w:rStyle w:val="Numrodepage"/>
              <w:rFonts w:cs="Arial"/>
              <w:szCs w:val="16"/>
            </w:rPr>
            <w:fldChar w:fldCharType="end"/>
          </w:r>
        </w:p>
      </w:tc>
      <w:tc>
        <w:tcPr>
          <w:tcW w:w="4226" w:type="dxa"/>
          <w:vAlign w:val="center"/>
        </w:tcPr>
        <w:p w14:paraId="023E133E" w14:textId="0E3BFCD7" w:rsidR="0004273F" w:rsidRPr="0004273F" w:rsidRDefault="0004273F" w:rsidP="0004273F">
          <w:pPr>
            <w:pStyle w:val="-Pieddepage"/>
            <w:jc w:val="right"/>
            <w:rPr>
              <w:rFonts w:cs="Arial"/>
              <w:szCs w:val="16"/>
              <w:lang w:val="en-US"/>
            </w:rPr>
          </w:pPr>
          <w:r w:rsidRPr="00B13424">
            <w:rPr>
              <w:rFonts w:cs="Arial"/>
              <w:szCs w:val="16"/>
            </w:rPr>
            <w:fldChar w:fldCharType="begin"/>
          </w:r>
          <w:r w:rsidRPr="0027637C">
            <w:rPr>
              <w:rFonts w:cs="Arial"/>
              <w:szCs w:val="16"/>
              <w:lang w:val="de-CH"/>
            </w:rPr>
            <w:instrText xml:space="preserve"> FILENAME  \* FirstCap  \* MERGEFORMAT </w:instrText>
          </w:r>
          <w:r w:rsidRPr="00B13424">
            <w:rPr>
              <w:rFonts w:cs="Arial"/>
              <w:szCs w:val="16"/>
            </w:rPr>
            <w:fldChar w:fldCharType="separate"/>
          </w:r>
          <w:r w:rsidR="002E56C5">
            <w:rPr>
              <w:rFonts w:cs="Arial"/>
              <w:noProof/>
              <w:szCs w:val="16"/>
              <w:lang w:val="de-CH"/>
            </w:rPr>
            <w:t>E-183-ALL-OWASP-Definition.docx</w:t>
          </w:r>
          <w:r w:rsidRPr="00B13424">
            <w:rPr>
              <w:rFonts w:cs="Arial"/>
              <w:szCs w:val="16"/>
            </w:rPr>
            <w:fldChar w:fldCharType="end"/>
          </w:r>
        </w:p>
      </w:tc>
    </w:tr>
  </w:tbl>
  <w:p w14:paraId="7956E49C" w14:textId="77777777" w:rsidR="00DE3DBE" w:rsidRPr="0004273F" w:rsidRDefault="00DE3DBE" w:rsidP="0004273F">
    <w:pPr>
      <w:pStyle w:val="Pieddepage"/>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D15FA" w14:textId="77777777" w:rsidR="008B3601" w:rsidRDefault="008B3601" w:rsidP="00DE3DBE">
      <w:pPr>
        <w:spacing w:after="0" w:line="240" w:lineRule="auto"/>
      </w:pPr>
      <w:r>
        <w:separator/>
      </w:r>
    </w:p>
  </w:footnote>
  <w:footnote w:type="continuationSeparator" w:id="0">
    <w:p w14:paraId="40CED207" w14:textId="77777777" w:rsidR="008B3601" w:rsidRDefault="008B3601" w:rsidP="00DE3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bottom w:val="single" w:sz="4" w:space="0" w:color="auto"/>
        <w:insideH w:val="single" w:sz="4" w:space="0" w:color="auto"/>
      </w:tblBorders>
      <w:tblLook w:val="01E0" w:firstRow="1" w:lastRow="1" w:firstColumn="1" w:lastColumn="1" w:noHBand="0" w:noVBand="0"/>
    </w:tblPr>
    <w:tblGrid>
      <w:gridCol w:w="1698"/>
      <w:gridCol w:w="1397"/>
      <w:gridCol w:w="3568"/>
      <w:gridCol w:w="2363"/>
    </w:tblGrid>
    <w:tr w:rsidR="0004273F" w14:paraId="455CF2FB" w14:textId="77777777" w:rsidTr="00363B4D">
      <w:trPr>
        <w:trHeight w:val="536"/>
        <w:jc w:val="center"/>
      </w:trPr>
      <w:tc>
        <w:tcPr>
          <w:tcW w:w="1698" w:type="dxa"/>
          <w:vAlign w:val="center"/>
        </w:tcPr>
        <w:p w14:paraId="11610A7A" w14:textId="77777777" w:rsidR="0004273F" w:rsidRPr="008723BD" w:rsidRDefault="0004273F" w:rsidP="0004273F">
          <w:pPr>
            <w:pStyle w:val="En-tte"/>
            <w:rPr>
              <w:rFonts w:ascii="ETML L" w:hAnsi="ETML L"/>
            </w:rPr>
          </w:pPr>
          <w:r w:rsidRPr="008723BD">
            <w:rPr>
              <w:rFonts w:ascii="ETML L" w:hAnsi="ETML L"/>
              <w:sz w:val="28"/>
              <w:szCs w:val="28"/>
              <w14:shadow w14:blurRad="50800" w14:dist="38100" w14:dir="2700000" w14:sx="100000" w14:sy="100000" w14:kx="0" w14:ky="0" w14:algn="tl">
                <w14:srgbClr w14:val="000000">
                  <w14:alpha w14:val="60000"/>
                </w14:srgbClr>
              </w14:shadow>
            </w:rPr>
            <w:t xml:space="preserve">ETML </w:t>
          </w:r>
        </w:p>
      </w:tc>
      <w:tc>
        <w:tcPr>
          <w:tcW w:w="1396" w:type="dxa"/>
          <w:vAlign w:val="center"/>
        </w:tcPr>
        <w:p w14:paraId="52DB92DB" w14:textId="0F41209C" w:rsidR="0004273F" w:rsidRDefault="0004273F" w:rsidP="0004273F">
          <w:pPr>
            <w:pStyle w:val="En-tte"/>
            <w:tabs>
              <w:tab w:val="left" w:pos="390"/>
              <w:tab w:val="left" w:pos="1178"/>
            </w:tabs>
            <w:jc w:val="center"/>
          </w:pPr>
          <w:r>
            <w:rPr>
              <w:noProof/>
              <w:lang w:eastAsia="fr-CH"/>
            </w:rPr>
            <w:drawing>
              <wp:inline distT="0" distB="0" distL="0" distR="0" wp14:anchorId="44ED8178" wp14:editId="668CA28C">
                <wp:extent cx="266700" cy="247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66700" cy="247650"/>
                        </a:xfrm>
                        <a:prstGeom prst="rect">
                          <a:avLst/>
                        </a:prstGeom>
                      </pic:spPr>
                    </pic:pic>
                  </a:graphicData>
                </a:graphic>
              </wp:inline>
            </w:drawing>
          </w:r>
          <w:r>
            <w:t xml:space="preserve"> </w:t>
          </w:r>
          <w:r w:rsidR="009E0A3B">
            <w:rPr>
              <w:sz w:val="28"/>
              <w:szCs w:val="28"/>
            </w:rPr>
            <w:t>183</w:t>
          </w:r>
        </w:p>
      </w:tc>
      <w:tc>
        <w:tcPr>
          <w:tcW w:w="3566" w:type="dxa"/>
          <w:vAlign w:val="center"/>
        </w:tcPr>
        <w:p w14:paraId="4C9DBFAA" w14:textId="77777777" w:rsidR="0004273F" w:rsidRPr="007F43ED" w:rsidRDefault="0004273F" w:rsidP="0004273F">
          <w:pPr>
            <w:pStyle w:val="En-tte"/>
            <w:tabs>
              <w:tab w:val="left" w:pos="390"/>
              <w:tab w:val="left" w:pos="1178"/>
            </w:tabs>
            <w:jc w:val="center"/>
            <w:rPr>
              <w:b/>
            </w:rPr>
          </w:pPr>
        </w:p>
      </w:tc>
      <w:tc>
        <w:tcPr>
          <w:tcW w:w="2362" w:type="dxa"/>
          <w:vAlign w:val="center"/>
        </w:tcPr>
        <w:p w14:paraId="5ACEAA02" w14:textId="77777777" w:rsidR="0004273F" w:rsidRDefault="0004273F" w:rsidP="0004273F">
          <w:pPr>
            <w:pStyle w:val="En-tte"/>
            <w:jc w:val="right"/>
          </w:pPr>
          <w:r>
            <w:rPr>
              <w:noProof/>
              <w:lang w:eastAsia="fr-CH"/>
            </w:rPr>
            <w:drawing>
              <wp:inline distT="0" distB="0" distL="0" distR="0" wp14:anchorId="3C44B96A" wp14:editId="3389E835">
                <wp:extent cx="1139371" cy="283303"/>
                <wp:effectExtent l="0" t="0" r="381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170534" cy="291052"/>
                        </a:xfrm>
                        <a:prstGeom prst="rect">
                          <a:avLst/>
                        </a:prstGeom>
                      </pic:spPr>
                    </pic:pic>
                  </a:graphicData>
                </a:graphic>
              </wp:inline>
            </w:drawing>
          </w:r>
        </w:p>
      </w:tc>
    </w:tr>
  </w:tbl>
  <w:p w14:paraId="19E26260" w14:textId="77777777" w:rsidR="0004273F" w:rsidRDefault="0004273F" w:rsidP="0004273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9C12F7"/>
    <w:multiLevelType w:val="multilevel"/>
    <w:tmpl w:val="0CCEB8E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48778141">
    <w:abstractNumId w:val="0"/>
  </w:num>
  <w:num w:numId="2" w16cid:durableId="931552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2B5"/>
    <w:rsid w:val="00005295"/>
    <w:rsid w:val="00011EEB"/>
    <w:rsid w:val="000212B5"/>
    <w:rsid w:val="000241F6"/>
    <w:rsid w:val="0004273F"/>
    <w:rsid w:val="000561CC"/>
    <w:rsid w:val="00090126"/>
    <w:rsid w:val="00114523"/>
    <w:rsid w:val="00132FD2"/>
    <w:rsid w:val="001D4148"/>
    <w:rsid w:val="00287181"/>
    <w:rsid w:val="002E56C5"/>
    <w:rsid w:val="003550E1"/>
    <w:rsid w:val="00371EBB"/>
    <w:rsid w:val="00384038"/>
    <w:rsid w:val="003E2BCA"/>
    <w:rsid w:val="00464994"/>
    <w:rsid w:val="004C45C7"/>
    <w:rsid w:val="0058260C"/>
    <w:rsid w:val="00612C14"/>
    <w:rsid w:val="00620EA5"/>
    <w:rsid w:val="006B1017"/>
    <w:rsid w:val="0070276F"/>
    <w:rsid w:val="007C1D70"/>
    <w:rsid w:val="008B3601"/>
    <w:rsid w:val="008E3D14"/>
    <w:rsid w:val="008F7337"/>
    <w:rsid w:val="009C61BB"/>
    <w:rsid w:val="009E0A3B"/>
    <w:rsid w:val="00A212A4"/>
    <w:rsid w:val="00BA1388"/>
    <w:rsid w:val="00C06889"/>
    <w:rsid w:val="00C64E33"/>
    <w:rsid w:val="00CB473C"/>
    <w:rsid w:val="00CB6ACC"/>
    <w:rsid w:val="00DE3DBE"/>
    <w:rsid w:val="00EC57B3"/>
    <w:rsid w:val="00ED40C6"/>
    <w:rsid w:val="00EF7CE3"/>
    <w:rsid w:val="00F14DC8"/>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A4A17"/>
  <w15:chartTrackingRefBased/>
  <w15:docId w15:val="{B18EA1BD-FB1B-47D7-AB66-695EB592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76F"/>
    <w:pPr>
      <w:spacing w:line="360" w:lineRule="auto"/>
    </w:pPr>
    <w:rPr>
      <w:rFonts w:ascii="Century Gothic" w:hAnsi="Century Gothic"/>
      <w:sz w:val="24"/>
    </w:rPr>
  </w:style>
  <w:style w:type="paragraph" w:styleId="Titre1">
    <w:name w:val="heading 1"/>
    <w:basedOn w:val="Normal"/>
    <w:next w:val="Normal"/>
    <w:link w:val="Titre1Car"/>
    <w:uiPriority w:val="9"/>
    <w:qFormat/>
    <w:rsid w:val="000561CC"/>
    <w:pPr>
      <w:keepNext/>
      <w:keepLines/>
      <w:numPr>
        <w:numId w:val="2"/>
      </w:numPr>
      <w:spacing w:before="240" w:after="0"/>
      <w:outlineLvl w:val="0"/>
    </w:pPr>
    <w:rPr>
      <w:rFonts w:eastAsiaTheme="majorEastAsia" w:cstheme="majorBidi"/>
      <w:b/>
      <w:bCs/>
      <w:color w:val="000000" w:themeColor="text1"/>
      <w:sz w:val="28"/>
      <w:szCs w:val="32"/>
    </w:rPr>
  </w:style>
  <w:style w:type="paragraph" w:styleId="Titre2">
    <w:name w:val="heading 2"/>
    <w:basedOn w:val="Titre1"/>
    <w:next w:val="Normal"/>
    <w:link w:val="Titre2Car"/>
    <w:uiPriority w:val="9"/>
    <w:unhideWhenUsed/>
    <w:qFormat/>
    <w:rsid w:val="000561CC"/>
    <w:pPr>
      <w:numPr>
        <w:ilvl w:val="1"/>
        <w:numId w:val="1"/>
      </w:numPr>
      <w:ind w:left="431" w:hanging="431"/>
      <w:outlineLvl w:val="1"/>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BA1388"/>
    <w:pPr>
      <w:spacing w:before="100" w:beforeAutospacing="1" w:after="100" w:afterAutospacing="1" w:line="240" w:lineRule="auto"/>
    </w:pPr>
    <w:rPr>
      <w:rFonts w:ascii="Times New Roman" w:eastAsia="Times New Roman" w:hAnsi="Times New Roman" w:cs="Times New Roman"/>
      <w:szCs w:val="24"/>
      <w:lang w:eastAsia="fr-CH"/>
    </w:rPr>
  </w:style>
  <w:style w:type="character" w:customStyle="1" w:styleId="normaltextrun">
    <w:name w:val="normaltextrun"/>
    <w:basedOn w:val="Policepardfaut"/>
    <w:rsid w:val="00BA1388"/>
  </w:style>
  <w:style w:type="character" w:customStyle="1" w:styleId="eop">
    <w:name w:val="eop"/>
    <w:basedOn w:val="Policepardfaut"/>
    <w:rsid w:val="00BA1388"/>
  </w:style>
  <w:style w:type="paragraph" w:styleId="Titre">
    <w:name w:val="Title"/>
    <w:basedOn w:val="Normal"/>
    <w:next w:val="Normal"/>
    <w:link w:val="TitreCar"/>
    <w:uiPriority w:val="10"/>
    <w:qFormat/>
    <w:rsid w:val="0070276F"/>
    <w:pPr>
      <w:spacing w:after="0"/>
      <w:contextualSpacing/>
    </w:pPr>
    <w:rPr>
      <w:rFonts w:eastAsiaTheme="majorEastAsia" w:cstheme="majorBidi"/>
      <w:spacing w:val="-10"/>
      <w:kern w:val="28"/>
      <w:sz w:val="72"/>
      <w:szCs w:val="56"/>
    </w:rPr>
  </w:style>
  <w:style w:type="character" w:customStyle="1" w:styleId="TitreCar">
    <w:name w:val="Titre Car"/>
    <w:basedOn w:val="Policepardfaut"/>
    <w:link w:val="Titre"/>
    <w:uiPriority w:val="10"/>
    <w:rsid w:val="0070276F"/>
    <w:rPr>
      <w:rFonts w:ascii="Century Gothic" w:eastAsiaTheme="majorEastAsia" w:hAnsi="Century Gothic" w:cstheme="majorBidi"/>
      <w:spacing w:val="-10"/>
      <w:kern w:val="28"/>
      <w:sz w:val="72"/>
      <w:szCs w:val="56"/>
    </w:rPr>
  </w:style>
  <w:style w:type="table" w:customStyle="1" w:styleId="TableETML">
    <w:name w:val="Table ETML"/>
    <w:basedOn w:val="TableauNormal"/>
    <w:uiPriority w:val="99"/>
    <w:rsid w:val="007C1D70"/>
    <w:pPr>
      <w:spacing w:before="120" w:after="120" w:line="360" w:lineRule="auto"/>
      <w:ind w:left="170"/>
    </w:pPr>
    <w:rPr>
      <w:rFonts w:ascii="Arial" w:hAnsi="Arial"/>
      <w:sz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B4C6E7" w:themeFill="accent1" w:themeFillTint="66"/>
    </w:tcPr>
    <w:tblStylePr w:type="firstRow">
      <w:rPr>
        <w:b/>
        <w:sz w:val="28"/>
      </w:rPr>
      <w:tblPr/>
      <w:tcPr>
        <w:shd w:val="clear" w:color="auto" w:fill="2E74B5" w:themeFill="accent5" w:themeFillShade="BF"/>
      </w:tcPr>
    </w:tblStylePr>
    <w:tblStylePr w:type="band1Horz">
      <w:pPr>
        <w:wordWrap/>
        <w:spacing w:beforeLines="0" w:before="120" w:beforeAutospacing="0" w:afterLines="0" w:after="120" w:afterAutospacing="0" w:line="360" w:lineRule="auto"/>
        <w:ind w:leftChars="0" w:left="170"/>
        <w:jc w:val="left"/>
      </w:pPr>
      <w:tblPr/>
      <w:tcPr>
        <w:shd w:val="clear" w:color="auto" w:fill="AFEAFF"/>
      </w:tcPr>
    </w:tblStylePr>
    <w:tblStylePr w:type="band2Horz">
      <w:tblPr/>
      <w:tcPr>
        <w:shd w:val="clear" w:color="auto" w:fill="FFFFFF" w:themeFill="background1"/>
      </w:tcPr>
    </w:tblStylePr>
  </w:style>
  <w:style w:type="table" w:styleId="Grilledutableau">
    <w:name w:val="Table Grid"/>
    <w:basedOn w:val="TableauNormal"/>
    <w:uiPriority w:val="39"/>
    <w:rsid w:val="007C1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C1D70"/>
    <w:rPr>
      <w:rFonts w:ascii="Arial" w:eastAsiaTheme="majorEastAsia" w:hAnsi="Arial" w:cstheme="majorBidi"/>
      <w:b/>
      <w:bCs/>
      <w:color w:val="000000" w:themeColor="text1"/>
      <w:sz w:val="28"/>
      <w:szCs w:val="32"/>
    </w:rPr>
  </w:style>
  <w:style w:type="character" w:customStyle="1" w:styleId="Titre2Car">
    <w:name w:val="Titre 2 Car"/>
    <w:basedOn w:val="Policepardfaut"/>
    <w:link w:val="Titre2"/>
    <w:uiPriority w:val="9"/>
    <w:rsid w:val="000561CC"/>
    <w:rPr>
      <w:rFonts w:ascii="Arial" w:eastAsiaTheme="majorEastAsia" w:hAnsi="Arial" w:cstheme="majorBidi"/>
      <w:b/>
      <w:bCs/>
      <w:color w:val="000000" w:themeColor="text1"/>
      <w:sz w:val="28"/>
      <w:szCs w:val="32"/>
    </w:rPr>
  </w:style>
  <w:style w:type="paragraph" w:styleId="En-tte">
    <w:name w:val="header"/>
    <w:basedOn w:val="Normal"/>
    <w:link w:val="En-tteCar"/>
    <w:unhideWhenUsed/>
    <w:rsid w:val="00DE3DBE"/>
    <w:pPr>
      <w:tabs>
        <w:tab w:val="center" w:pos="4513"/>
        <w:tab w:val="right" w:pos="9026"/>
      </w:tabs>
      <w:spacing w:after="0" w:line="240" w:lineRule="auto"/>
    </w:pPr>
  </w:style>
  <w:style w:type="character" w:customStyle="1" w:styleId="En-tteCar">
    <w:name w:val="En-tête Car"/>
    <w:basedOn w:val="Policepardfaut"/>
    <w:link w:val="En-tte"/>
    <w:rsid w:val="00DE3DBE"/>
    <w:rPr>
      <w:rFonts w:ascii="Arial" w:hAnsi="Arial"/>
      <w:sz w:val="24"/>
    </w:rPr>
  </w:style>
  <w:style w:type="paragraph" w:styleId="Pieddepage">
    <w:name w:val="footer"/>
    <w:basedOn w:val="Normal"/>
    <w:link w:val="PieddepageCar"/>
    <w:uiPriority w:val="99"/>
    <w:unhideWhenUsed/>
    <w:rsid w:val="00DE3DB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E3DBE"/>
    <w:rPr>
      <w:rFonts w:ascii="Arial" w:hAnsi="Arial"/>
      <w:sz w:val="24"/>
    </w:rPr>
  </w:style>
  <w:style w:type="character" w:styleId="Textedelespacerserv">
    <w:name w:val="Placeholder Text"/>
    <w:basedOn w:val="Policepardfaut"/>
    <w:uiPriority w:val="99"/>
    <w:semiHidden/>
    <w:rsid w:val="00DE3DBE"/>
    <w:rPr>
      <w:color w:val="808080"/>
    </w:rPr>
  </w:style>
  <w:style w:type="character" w:styleId="Numrodepage">
    <w:name w:val="page number"/>
    <w:basedOn w:val="Policepardfaut"/>
    <w:semiHidden/>
    <w:rsid w:val="0004273F"/>
  </w:style>
  <w:style w:type="paragraph" w:customStyle="1" w:styleId="-Pieddepage">
    <w:name w:val="-Pied de page"/>
    <w:basedOn w:val="Normal"/>
    <w:rsid w:val="0070276F"/>
    <w:pPr>
      <w:spacing w:after="0" w:line="240" w:lineRule="auto"/>
    </w:pPr>
    <w:rPr>
      <w:rFonts w:eastAsia="Times New Roman" w:cs="Times New Roman"/>
      <w:sz w:val="16"/>
      <w:szCs w:val="20"/>
      <w:lang w:val="fr-FR" w:eastAsia="fr-FR"/>
    </w:rPr>
  </w:style>
  <w:style w:type="character" w:customStyle="1" w:styleId="ng-star-inserted">
    <w:name w:val="ng-star-inserted"/>
    <w:basedOn w:val="Policepardfaut"/>
    <w:rsid w:val="009C61BB"/>
  </w:style>
  <w:style w:type="character" w:styleId="Lienhypertexte">
    <w:name w:val="Hyperlink"/>
    <w:basedOn w:val="Policepardfaut"/>
    <w:uiPriority w:val="99"/>
    <w:unhideWhenUsed/>
    <w:rsid w:val="00114523"/>
    <w:rPr>
      <w:color w:val="0563C1" w:themeColor="hyperlink"/>
      <w:u w:val="single"/>
    </w:rPr>
  </w:style>
  <w:style w:type="character" w:styleId="Mentionnonrsolue">
    <w:name w:val="Unresolved Mention"/>
    <w:basedOn w:val="Policepardfaut"/>
    <w:uiPriority w:val="99"/>
    <w:semiHidden/>
    <w:unhideWhenUsed/>
    <w:rsid w:val="00114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91511">
      <w:bodyDiv w:val="1"/>
      <w:marLeft w:val="0"/>
      <w:marRight w:val="0"/>
      <w:marTop w:val="0"/>
      <w:marBottom w:val="0"/>
      <w:divBdr>
        <w:top w:val="none" w:sz="0" w:space="0" w:color="auto"/>
        <w:left w:val="none" w:sz="0" w:space="0" w:color="auto"/>
        <w:bottom w:val="none" w:sz="0" w:space="0" w:color="auto"/>
        <w:right w:val="none" w:sz="0" w:space="0" w:color="auto"/>
      </w:divBdr>
      <w:divsChild>
        <w:div w:id="1040472387">
          <w:marLeft w:val="360"/>
          <w:marRight w:val="0"/>
          <w:marTop w:val="200"/>
          <w:marBottom w:val="0"/>
          <w:divBdr>
            <w:top w:val="none" w:sz="0" w:space="0" w:color="auto"/>
            <w:left w:val="none" w:sz="0" w:space="0" w:color="auto"/>
            <w:bottom w:val="none" w:sz="0" w:space="0" w:color="auto"/>
            <w:right w:val="none" w:sz="0" w:space="0" w:color="auto"/>
          </w:divBdr>
        </w:div>
      </w:divsChild>
    </w:div>
    <w:div w:id="2006473415">
      <w:bodyDiv w:val="1"/>
      <w:marLeft w:val="0"/>
      <w:marRight w:val="0"/>
      <w:marTop w:val="0"/>
      <w:marBottom w:val="0"/>
      <w:divBdr>
        <w:top w:val="none" w:sz="0" w:space="0" w:color="auto"/>
        <w:left w:val="none" w:sz="0" w:space="0" w:color="auto"/>
        <w:bottom w:val="none" w:sz="0" w:space="0" w:color="auto"/>
        <w:right w:val="none" w:sz="0" w:space="0" w:color="auto"/>
      </w:divBdr>
      <w:divsChild>
        <w:div w:id="396247868">
          <w:marLeft w:val="0"/>
          <w:marRight w:val="0"/>
          <w:marTop w:val="0"/>
          <w:marBottom w:val="0"/>
          <w:divBdr>
            <w:top w:val="none" w:sz="0" w:space="0" w:color="auto"/>
            <w:left w:val="none" w:sz="0" w:space="0" w:color="auto"/>
            <w:bottom w:val="none" w:sz="0" w:space="0" w:color="auto"/>
            <w:right w:val="none" w:sz="0" w:space="0" w:color="auto"/>
          </w:divBdr>
        </w:div>
        <w:div w:id="1255629252">
          <w:marLeft w:val="0"/>
          <w:marRight w:val="0"/>
          <w:marTop w:val="0"/>
          <w:marBottom w:val="0"/>
          <w:divBdr>
            <w:top w:val="none" w:sz="0" w:space="0" w:color="auto"/>
            <w:left w:val="none" w:sz="0" w:space="0" w:color="auto"/>
            <w:bottom w:val="none" w:sz="0" w:space="0" w:color="auto"/>
            <w:right w:val="none" w:sz="0" w:space="0" w:color="auto"/>
          </w:divBdr>
          <w:divsChild>
            <w:div w:id="383136673">
              <w:marLeft w:val="0"/>
              <w:marRight w:val="0"/>
              <w:marTop w:val="0"/>
              <w:marBottom w:val="0"/>
              <w:divBdr>
                <w:top w:val="none" w:sz="0" w:space="0" w:color="auto"/>
                <w:left w:val="none" w:sz="0" w:space="0" w:color="auto"/>
                <w:bottom w:val="none" w:sz="0" w:space="0" w:color="auto"/>
                <w:right w:val="none" w:sz="0" w:space="0" w:color="auto"/>
              </w:divBdr>
              <w:divsChild>
                <w:div w:id="1255817324">
                  <w:marLeft w:val="0"/>
                  <w:marRight w:val="0"/>
                  <w:marTop w:val="0"/>
                  <w:marBottom w:val="0"/>
                  <w:divBdr>
                    <w:top w:val="none" w:sz="0" w:space="0" w:color="auto"/>
                    <w:left w:val="none" w:sz="0" w:space="0" w:color="auto"/>
                    <w:bottom w:val="none" w:sz="0" w:space="0" w:color="auto"/>
                    <w:right w:val="none" w:sz="0" w:space="0" w:color="auto"/>
                  </w:divBdr>
                  <w:divsChild>
                    <w:div w:id="1944149300">
                      <w:marLeft w:val="0"/>
                      <w:marRight w:val="0"/>
                      <w:marTop w:val="0"/>
                      <w:marBottom w:val="0"/>
                      <w:divBdr>
                        <w:top w:val="none" w:sz="0" w:space="0" w:color="auto"/>
                        <w:left w:val="none" w:sz="0" w:space="0" w:color="auto"/>
                        <w:bottom w:val="none" w:sz="0" w:space="0" w:color="auto"/>
                        <w:right w:val="none" w:sz="0" w:space="0" w:color="auto"/>
                      </w:divBdr>
                    </w:div>
                  </w:divsChild>
                </w:div>
                <w:div w:id="954171327">
                  <w:marLeft w:val="0"/>
                  <w:marRight w:val="0"/>
                  <w:marTop w:val="0"/>
                  <w:marBottom w:val="0"/>
                  <w:divBdr>
                    <w:top w:val="none" w:sz="0" w:space="0" w:color="auto"/>
                    <w:left w:val="none" w:sz="0" w:space="0" w:color="auto"/>
                    <w:bottom w:val="none" w:sz="0" w:space="0" w:color="auto"/>
                    <w:right w:val="none" w:sz="0" w:space="0" w:color="auto"/>
                  </w:divBdr>
                  <w:divsChild>
                    <w:div w:id="358315108">
                      <w:marLeft w:val="0"/>
                      <w:marRight w:val="0"/>
                      <w:marTop w:val="0"/>
                      <w:marBottom w:val="0"/>
                      <w:divBdr>
                        <w:top w:val="none" w:sz="0" w:space="0" w:color="auto"/>
                        <w:left w:val="none" w:sz="0" w:space="0" w:color="auto"/>
                        <w:bottom w:val="none" w:sz="0" w:space="0" w:color="auto"/>
                        <w:right w:val="none" w:sz="0" w:space="0" w:color="auto"/>
                      </w:divBdr>
                    </w:div>
                  </w:divsChild>
                </w:div>
                <w:div w:id="1366980396">
                  <w:marLeft w:val="0"/>
                  <w:marRight w:val="0"/>
                  <w:marTop w:val="0"/>
                  <w:marBottom w:val="0"/>
                  <w:divBdr>
                    <w:top w:val="none" w:sz="0" w:space="0" w:color="auto"/>
                    <w:left w:val="none" w:sz="0" w:space="0" w:color="auto"/>
                    <w:bottom w:val="none" w:sz="0" w:space="0" w:color="auto"/>
                    <w:right w:val="none" w:sz="0" w:space="0" w:color="auto"/>
                  </w:divBdr>
                  <w:divsChild>
                    <w:div w:id="2009476832">
                      <w:marLeft w:val="0"/>
                      <w:marRight w:val="0"/>
                      <w:marTop w:val="0"/>
                      <w:marBottom w:val="0"/>
                      <w:divBdr>
                        <w:top w:val="none" w:sz="0" w:space="0" w:color="auto"/>
                        <w:left w:val="none" w:sz="0" w:space="0" w:color="auto"/>
                        <w:bottom w:val="none" w:sz="0" w:space="0" w:color="auto"/>
                        <w:right w:val="none" w:sz="0" w:space="0" w:color="auto"/>
                      </w:divBdr>
                    </w:div>
                  </w:divsChild>
                </w:div>
                <w:div w:id="1099256481">
                  <w:marLeft w:val="0"/>
                  <w:marRight w:val="0"/>
                  <w:marTop w:val="0"/>
                  <w:marBottom w:val="0"/>
                  <w:divBdr>
                    <w:top w:val="none" w:sz="0" w:space="0" w:color="auto"/>
                    <w:left w:val="none" w:sz="0" w:space="0" w:color="auto"/>
                    <w:bottom w:val="none" w:sz="0" w:space="0" w:color="auto"/>
                    <w:right w:val="none" w:sz="0" w:space="0" w:color="auto"/>
                  </w:divBdr>
                  <w:divsChild>
                    <w:div w:id="1820876438">
                      <w:marLeft w:val="0"/>
                      <w:marRight w:val="0"/>
                      <w:marTop w:val="0"/>
                      <w:marBottom w:val="0"/>
                      <w:divBdr>
                        <w:top w:val="none" w:sz="0" w:space="0" w:color="auto"/>
                        <w:left w:val="none" w:sz="0" w:space="0" w:color="auto"/>
                        <w:bottom w:val="none" w:sz="0" w:space="0" w:color="auto"/>
                        <w:right w:val="none" w:sz="0" w:space="0" w:color="auto"/>
                      </w:divBdr>
                    </w:div>
                  </w:divsChild>
                </w:div>
                <w:div w:id="540745345">
                  <w:marLeft w:val="0"/>
                  <w:marRight w:val="0"/>
                  <w:marTop w:val="0"/>
                  <w:marBottom w:val="0"/>
                  <w:divBdr>
                    <w:top w:val="none" w:sz="0" w:space="0" w:color="auto"/>
                    <w:left w:val="none" w:sz="0" w:space="0" w:color="auto"/>
                    <w:bottom w:val="none" w:sz="0" w:space="0" w:color="auto"/>
                    <w:right w:val="none" w:sz="0" w:space="0" w:color="auto"/>
                  </w:divBdr>
                  <w:divsChild>
                    <w:div w:id="478154874">
                      <w:marLeft w:val="0"/>
                      <w:marRight w:val="0"/>
                      <w:marTop w:val="0"/>
                      <w:marBottom w:val="0"/>
                      <w:divBdr>
                        <w:top w:val="none" w:sz="0" w:space="0" w:color="auto"/>
                        <w:left w:val="none" w:sz="0" w:space="0" w:color="auto"/>
                        <w:bottom w:val="none" w:sz="0" w:space="0" w:color="auto"/>
                        <w:right w:val="none" w:sz="0" w:space="0" w:color="auto"/>
                      </w:divBdr>
                    </w:div>
                  </w:divsChild>
                </w:div>
                <w:div w:id="1780954252">
                  <w:marLeft w:val="0"/>
                  <w:marRight w:val="0"/>
                  <w:marTop w:val="0"/>
                  <w:marBottom w:val="0"/>
                  <w:divBdr>
                    <w:top w:val="none" w:sz="0" w:space="0" w:color="auto"/>
                    <w:left w:val="none" w:sz="0" w:space="0" w:color="auto"/>
                    <w:bottom w:val="none" w:sz="0" w:space="0" w:color="auto"/>
                    <w:right w:val="none" w:sz="0" w:space="0" w:color="auto"/>
                  </w:divBdr>
                  <w:divsChild>
                    <w:div w:id="1247765634">
                      <w:marLeft w:val="0"/>
                      <w:marRight w:val="0"/>
                      <w:marTop w:val="0"/>
                      <w:marBottom w:val="0"/>
                      <w:divBdr>
                        <w:top w:val="none" w:sz="0" w:space="0" w:color="auto"/>
                        <w:left w:val="none" w:sz="0" w:space="0" w:color="auto"/>
                        <w:bottom w:val="none" w:sz="0" w:space="0" w:color="auto"/>
                        <w:right w:val="none" w:sz="0" w:space="0" w:color="auto"/>
                      </w:divBdr>
                    </w:div>
                  </w:divsChild>
                </w:div>
                <w:div w:id="609976106">
                  <w:marLeft w:val="0"/>
                  <w:marRight w:val="0"/>
                  <w:marTop w:val="0"/>
                  <w:marBottom w:val="0"/>
                  <w:divBdr>
                    <w:top w:val="none" w:sz="0" w:space="0" w:color="auto"/>
                    <w:left w:val="none" w:sz="0" w:space="0" w:color="auto"/>
                    <w:bottom w:val="none" w:sz="0" w:space="0" w:color="auto"/>
                    <w:right w:val="none" w:sz="0" w:space="0" w:color="auto"/>
                  </w:divBdr>
                  <w:divsChild>
                    <w:div w:id="1881478023">
                      <w:marLeft w:val="0"/>
                      <w:marRight w:val="0"/>
                      <w:marTop w:val="0"/>
                      <w:marBottom w:val="0"/>
                      <w:divBdr>
                        <w:top w:val="none" w:sz="0" w:space="0" w:color="auto"/>
                        <w:left w:val="none" w:sz="0" w:space="0" w:color="auto"/>
                        <w:bottom w:val="none" w:sz="0" w:space="0" w:color="auto"/>
                        <w:right w:val="none" w:sz="0" w:space="0" w:color="auto"/>
                      </w:divBdr>
                    </w:div>
                  </w:divsChild>
                </w:div>
                <w:div w:id="1268074165">
                  <w:marLeft w:val="0"/>
                  <w:marRight w:val="0"/>
                  <w:marTop w:val="0"/>
                  <w:marBottom w:val="0"/>
                  <w:divBdr>
                    <w:top w:val="none" w:sz="0" w:space="0" w:color="auto"/>
                    <w:left w:val="none" w:sz="0" w:space="0" w:color="auto"/>
                    <w:bottom w:val="none" w:sz="0" w:space="0" w:color="auto"/>
                    <w:right w:val="none" w:sz="0" w:space="0" w:color="auto"/>
                  </w:divBdr>
                  <w:divsChild>
                    <w:div w:id="358287359">
                      <w:marLeft w:val="0"/>
                      <w:marRight w:val="0"/>
                      <w:marTop w:val="0"/>
                      <w:marBottom w:val="0"/>
                      <w:divBdr>
                        <w:top w:val="none" w:sz="0" w:space="0" w:color="auto"/>
                        <w:left w:val="none" w:sz="0" w:space="0" w:color="auto"/>
                        <w:bottom w:val="none" w:sz="0" w:space="0" w:color="auto"/>
                        <w:right w:val="none" w:sz="0" w:space="0" w:color="auto"/>
                      </w:divBdr>
                    </w:div>
                  </w:divsChild>
                </w:div>
                <w:div w:id="646665491">
                  <w:marLeft w:val="0"/>
                  <w:marRight w:val="0"/>
                  <w:marTop w:val="0"/>
                  <w:marBottom w:val="0"/>
                  <w:divBdr>
                    <w:top w:val="none" w:sz="0" w:space="0" w:color="auto"/>
                    <w:left w:val="none" w:sz="0" w:space="0" w:color="auto"/>
                    <w:bottom w:val="none" w:sz="0" w:space="0" w:color="auto"/>
                    <w:right w:val="none" w:sz="0" w:space="0" w:color="auto"/>
                  </w:divBdr>
                  <w:divsChild>
                    <w:div w:id="1017777828">
                      <w:marLeft w:val="0"/>
                      <w:marRight w:val="0"/>
                      <w:marTop w:val="0"/>
                      <w:marBottom w:val="0"/>
                      <w:divBdr>
                        <w:top w:val="none" w:sz="0" w:space="0" w:color="auto"/>
                        <w:left w:val="none" w:sz="0" w:space="0" w:color="auto"/>
                        <w:bottom w:val="none" w:sz="0" w:space="0" w:color="auto"/>
                        <w:right w:val="none" w:sz="0" w:space="0" w:color="auto"/>
                      </w:divBdr>
                    </w:div>
                  </w:divsChild>
                </w:div>
                <w:div w:id="1330211658">
                  <w:marLeft w:val="0"/>
                  <w:marRight w:val="0"/>
                  <w:marTop w:val="0"/>
                  <w:marBottom w:val="0"/>
                  <w:divBdr>
                    <w:top w:val="none" w:sz="0" w:space="0" w:color="auto"/>
                    <w:left w:val="none" w:sz="0" w:space="0" w:color="auto"/>
                    <w:bottom w:val="none" w:sz="0" w:space="0" w:color="auto"/>
                    <w:right w:val="none" w:sz="0" w:space="0" w:color="auto"/>
                  </w:divBdr>
                  <w:divsChild>
                    <w:div w:id="1776097270">
                      <w:marLeft w:val="0"/>
                      <w:marRight w:val="0"/>
                      <w:marTop w:val="0"/>
                      <w:marBottom w:val="0"/>
                      <w:divBdr>
                        <w:top w:val="none" w:sz="0" w:space="0" w:color="auto"/>
                        <w:left w:val="none" w:sz="0" w:space="0" w:color="auto"/>
                        <w:bottom w:val="none" w:sz="0" w:space="0" w:color="auto"/>
                        <w:right w:val="none" w:sz="0" w:space="0" w:color="auto"/>
                      </w:divBdr>
                    </w:div>
                  </w:divsChild>
                </w:div>
                <w:div w:id="1357345234">
                  <w:marLeft w:val="0"/>
                  <w:marRight w:val="0"/>
                  <w:marTop w:val="0"/>
                  <w:marBottom w:val="0"/>
                  <w:divBdr>
                    <w:top w:val="none" w:sz="0" w:space="0" w:color="auto"/>
                    <w:left w:val="none" w:sz="0" w:space="0" w:color="auto"/>
                    <w:bottom w:val="none" w:sz="0" w:space="0" w:color="auto"/>
                    <w:right w:val="none" w:sz="0" w:space="0" w:color="auto"/>
                  </w:divBdr>
                  <w:divsChild>
                    <w:div w:id="656685879">
                      <w:marLeft w:val="0"/>
                      <w:marRight w:val="0"/>
                      <w:marTop w:val="0"/>
                      <w:marBottom w:val="0"/>
                      <w:divBdr>
                        <w:top w:val="none" w:sz="0" w:space="0" w:color="auto"/>
                        <w:left w:val="none" w:sz="0" w:space="0" w:color="auto"/>
                        <w:bottom w:val="none" w:sz="0" w:space="0" w:color="auto"/>
                        <w:right w:val="none" w:sz="0" w:space="0" w:color="auto"/>
                      </w:divBdr>
                    </w:div>
                  </w:divsChild>
                </w:div>
                <w:div w:id="1698846220">
                  <w:marLeft w:val="0"/>
                  <w:marRight w:val="0"/>
                  <w:marTop w:val="0"/>
                  <w:marBottom w:val="0"/>
                  <w:divBdr>
                    <w:top w:val="none" w:sz="0" w:space="0" w:color="auto"/>
                    <w:left w:val="none" w:sz="0" w:space="0" w:color="auto"/>
                    <w:bottom w:val="none" w:sz="0" w:space="0" w:color="auto"/>
                    <w:right w:val="none" w:sz="0" w:space="0" w:color="auto"/>
                  </w:divBdr>
                  <w:divsChild>
                    <w:div w:id="648442961">
                      <w:marLeft w:val="0"/>
                      <w:marRight w:val="0"/>
                      <w:marTop w:val="0"/>
                      <w:marBottom w:val="0"/>
                      <w:divBdr>
                        <w:top w:val="none" w:sz="0" w:space="0" w:color="auto"/>
                        <w:left w:val="none" w:sz="0" w:space="0" w:color="auto"/>
                        <w:bottom w:val="none" w:sz="0" w:space="0" w:color="auto"/>
                        <w:right w:val="none" w:sz="0" w:space="0" w:color="auto"/>
                      </w:divBdr>
                    </w:div>
                  </w:divsChild>
                </w:div>
                <w:div w:id="5863153">
                  <w:marLeft w:val="0"/>
                  <w:marRight w:val="0"/>
                  <w:marTop w:val="0"/>
                  <w:marBottom w:val="0"/>
                  <w:divBdr>
                    <w:top w:val="none" w:sz="0" w:space="0" w:color="auto"/>
                    <w:left w:val="none" w:sz="0" w:space="0" w:color="auto"/>
                    <w:bottom w:val="none" w:sz="0" w:space="0" w:color="auto"/>
                    <w:right w:val="none" w:sz="0" w:space="0" w:color="auto"/>
                  </w:divBdr>
                  <w:divsChild>
                    <w:div w:id="1026100401">
                      <w:marLeft w:val="0"/>
                      <w:marRight w:val="0"/>
                      <w:marTop w:val="0"/>
                      <w:marBottom w:val="0"/>
                      <w:divBdr>
                        <w:top w:val="none" w:sz="0" w:space="0" w:color="auto"/>
                        <w:left w:val="none" w:sz="0" w:space="0" w:color="auto"/>
                        <w:bottom w:val="none" w:sz="0" w:space="0" w:color="auto"/>
                        <w:right w:val="none" w:sz="0" w:space="0" w:color="auto"/>
                      </w:divBdr>
                    </w:div>
                  </w:divsChild>
                </w:div>
                <w:div w:id="395322487">
                  <w:marLeft w:val="0"/>
                  <w:marRight w:val="0"/>
                  <w:marTop w:val="0"/>
                  <w:marBottom w:val="0"/>
                  <w:divBdr>
                    <w:top w:val="none" w:sz="0" w:space="0" w:color="auto"/>
                    <w:left w:val="none" w:sz="0" w:space="0" w:color="auto"/>
                    <w:bottom w:val="none" w:sz="0" w:space="0" w:color="auto"/>
                    <w:right w:val="none" w:sz="0" w:space="0" w:color="auto"/>
                  </w:divBdr>
                  <w:divsChild>
                    <w:div w:id="6361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73762">
          <w:marLeft w:val="0"/>
          <w:marRight w:val="0"/>
          <w:marTop w:val="0"/>
          <w:marBottom w:val="0"/>
          <w:divBdr>
            <w:top w:val="none" w:sz="0" w:space="0" w:color="auto"/>
            <w:left w:val="none" w:sz="0" w:space="0" w:color="auto"/>
            <w:bottom w:val="none" w:sz="0" w:space="0" w:color="auto"/>
            <w:right w:val="none" w:sz="0" w:space="0" w:color="auto"/>
          </w:divBdr>
        </w:div>
      </w:divsChild>
    </w:div>
    <w:div w:id="2045132435">
      <w:bodyDiv w:val="1"/>
      <w:marLeft w:val="0"/>
      <w:marRight w:val="0"/>
      <w:marTop w:val="0"/>
      <w:marBottom w:val="0"/>
      <w:divBdr>
        <w:top w:val="none" w:sz="0" w:space="0" w:color="auto"/>
        <w:left w:val="none" w:sz="0" w:space="0" w:color="auto"/>
        <w:bottom w:val="none" w:sz="0" w:space="0" w:color="auto"/>
        <w:right w:val="none" w:sz="0" w:space="0" w:color="auto"/>
      </w:divBdr>
      <w:divsChild>
        <w:div w:id="12967636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owasp.org/www-project-top-t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x53yvq\OneDrive%20-%20Education%20Vaud\templates\E-xxx-ALL-01-tit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12CA962D3BC343BA4881942FCA9ABD" ma:contentTypeVersion="13" ma:contentTypeDescription="Crée un document." ma:contentTypeScope="" ma:versionID="69c7e1234aa399a5294368cedfc9727e">
  <xsd:schema xmlns:xsd="http://www.w3.org/2001/XMLSchema" xmlns:xs="http://www.w3.org/2001/XMLSchema" xmlns:p="http://schemas.microsoft.com/office/2006/metadata/properties" xmlns:ns2="eb2b4dc0-5538-4988-a426-1e3bf3687743" xmlns:ns3="26488081-7094-48e3-a435-bbb366c5709a" targetNamespace="http://schemas.microsoft.com/office/2006/metadata/properties" ma:root="true" ma:fieldsID="f55906f2b711226ab16b0d1a2f445893" ns2:_="" ns3:_="">
    <xsd:import namespace="eb2b4dc0-5538-4988-a426-1e3bf3687743"/>
    <xsd:import namespace="26488081-7094-48e3-a435-bbb366c5709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b4dc0-5538-4988-a426-1e3bf36877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488081-7094-48e3-a435-bbb366c5709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1d2a550-8a6e-4716-a102-3562047d879a}" ma:internalName="TaxCatchAll" ma:showField="CatchAllData" ma:web="26488081-7094-48e3-a435-bbb366c570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b2b4dc0-5538-4988-a426-1e3bf3687743">
      <Terms xmlns="http://schemas.microsoft.com/office/infopath/2007/PartnerControls"/>
    </lcf76f155ced4ddcb4097134ff3c332f>
    <TaxCatchAll xmlns="26488081-7094-48e3-a435-bbb366c5709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76B3C6-6C9D-4006-A98D-172413B64D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b4dc0-5538-4988-a426-1e3bf3687743"/>
    <ds:schemaRef ds:uri="26488081-7094-48e3-a435-bbb366c570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37BDC5-E78C-4C6C-A281-6FAAE003638E}">
  <ds:schemaRefs>
    <ds:schemaRef ds:uri="http://schemas.microsoft.com/office/2006/metadata/properties"/>
    <ds:schemaRef ds:uri="http://schemas.microsoft.com/office/infopath/2007/PartnerControls"/>
    <ds:schemaRef ds:uri="eb2b4dc0-5538-4988-a426-1e3bf3687743"/>
    <ds:schemaRef ds:uri="26488081-7094-48e3-a435-bbb366c5709a"/>
  </ds:schemaRefs>
</ds:datastoreItem>
</file>

<file path=customXml/itemProps3.xml><?xml version="1.0" encoding="utf-8"?>
<ds:datastoreItem xmlns:ds="http://schemas.openxmlformats.org/officeDocument/2006/customXml" ds:itemID="{D6A0AF13-3C59-4CBC-BC7A-60CF4496D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E-xxx-ALL-01-titre.dotx</Template>
  <TotalTime>19</TotalTime>
  <Pages>2</Pages>
  <Words>499</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Schaffter</dc:creator>
  <cp:keywords/>
  <dc:description/>
  <cp:lastModifiedBy>Jonathan Melly</cp:lastModifiedBy>
  <cp:revision>21</cp:revision>
  <dcterms:created xsi:type="dcterms:W3CDTF">2024-03-19T11:23:00Z</dcterms:created>
  <dcterms:modified xsi:type="dcterms:W3CDTF">2025-10-31T13:27:00Z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0x010100BD12CA962D3BC343BA4881942FCA9ABD</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