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Cahier des charges — Réseau local de la Commune de Testville</w:t>
      </w:r>
    </w:p>
    <w:p>
      <w:pPr>
        <w:spacing w:after="240"/>
        <w:jc w:val="center"/>
      </w:pPr>
      <w:r>
        <w:rPr>
          <w:color w:val="555555"/>
          <w:sz w:val="24"/>
          <w:szCs w:val="24"/>
        </w:rPr>
        <w:t xml:space="preserve">P_RES-129 — Groupe 1</w:t>
      </w:r>
    </w:p>
    <w:p>
      <w:pPr>
        <w:pStyle w:val="Heading1"/>
        <w:spacing w:after="140" w:before="280"/>
      </w:pPr>
      <w:r>
        <w:rPr>
          <w:b/>
          <w:bCs/>
        </w:rPr>
        <w:t xml:space="preserve">1. Contexte et objectifs</w:t>
      </w:r>
    </w:p>
    <w:p>
      <w:pPr>
        <w:spacing w:after="120"/>
      </w:pPr>
      <w:r>
        <w:t xml:space="preserve">La Commune de Testville modernise le réseau informatique de ses bâtiments communaux. Elle mandate votre équipe pour concevoir et simuler la nouvelle infrastructure LAN. Les objectifs sont les suivants :</w:t>
      </w:r>
    </w:p>
    <w:p>
      <w:pPr>
        <w:pStyle w:val="ListParagraph"/>
        <w:numPr>
          <w:ilvl w:val="0"/>
          <w:numId w:val="2"/>
        </w:numPr>
        <w:spacing w:after="80"/>
      </w:pPr>
      <w:r>
        <w:t xml:space="preserve">Offrir un accès fiable au réseau et à Internet à environ 80 postes fixes et 30 utilisateurs mobiles.</w:t>
      </w:r>
    </w:p>
    <w:p>
      <w:pPr>
        <w:pStyle w:val="ListParagraph"/>
        <w:numPr>
          <w:ilvl w:val="0"/>
          <w:numId w:val="2"/>
        </w:numPr>
        <w:spacing w:after="80"/>
      </w:pPr>
      <w:r>
        <w:t xml:space="preserve">Mettre à disposition un Wi-Fi invité pour les visiteurs, séparé du reste du réseau.</w:t>
      </w:r>
    </w:p>
    <w:p>
      <w:pPr>
        <w:pStyle w:val="ListParagraph"/>
        <w:numPr>
          <w:ilvl w:val="0"/>
          <w:numId w:val="2"/>
        </w:numPr>
        <w:spacing w:after="80"/>
      </w:pPr>
      <w:r>
        <w:t xml:space="preserve">Segmenter le réseau en fonction de l’organisation de la commune : à vous d’identifier les segments nécessaires à partir de la description des bâtiments, des étages et des services ci-dessous.</w:t>
      </w:r>
    </w:p>
    <w:p>
      <w:pPr>
        <w:pStyle w:val="ListParagraph"/>
        <w:numPr>
          <w:ilvl w:val="0"/>
          <w:numId w:val="2"/>
        </w:numPr>
        <w:spacing w:after="80"/>
      </w:pPr>
      <w:r>
        <w:t xml:space="preserve">Le réseau doit rester totalement ouvert : chaque segment doit pouvoir communiquer avec tous les autres, sans restriction (aucune ACL n’est demandée).</w:t>
      </w:r>
    </w:p>
    <w:p>
      <w:pPr>
        <w:pStyle w:val="Heading1"/>
        <w:spacing w:after="140" w:before="280"/>
      </w:pPr>
      <w:r>
        <w:rPr>
          <w:b/>
          <w:bCs/>
        </w:rPr>
        <w:t xml:space="preserve">2. Bâtiments et équipements</w:t>
      </w:r>
    </w:p>
    <w:p>
      <w:pPr>
        <w:spacing w:after="120"/>
      </w:pPr>
      <w:r>
        <w:t xml:space="preserve">Le projet couvre les bâtiments suivants (les distances sont mesurées depuis le bâtiment principal)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700"/>
        <w:gridCol w:w="1200"/>
        <w:gridCol w:w="1260"/>
      </w:tblGrid>
      <w:tr>
        <w:tc>
          <w:tcPr>
            <w:tcW w:type="dxa" w:w="2800"/>
            <w:shd w:fill="D9E2F3" w:val="clear"/>
            <w:tcMar>
              <w:top w:type="dxa" w:w="60"/>
              <w:left w:type="dxa" w:w="100"/>
              <w:bottom w:type="dxa" w:w="60"/>
              <w:right w:type="dxa" w:w="100"/>
            </w:tcMar>
          </w:tcPr>
          <w:p>
            <w:r>
              <w:rPr>
                <w:b/>
                <w:bCs/>
              </w:rPr>
              <w:t xml:space="preserve">Bâtiment</w:t>
            </w:r>
          </w:p>
        </w:tc>
        <w:tc>
          <w:tcPr>
            <w:tcW w:type="dxa" w:w="1200"/>
            <w:shd w:fill="D9E2F3" w:val="clear"/>
            <w:tcMar>
              <w:top w:type="dxa" w:w="60"/>
              <w:left w:type="dxa" w:w="100"/>
              <w:bottom w:type="dxa" w:w="60"/>
              <w:right w:type="dxa" w:w="100"/>
            </w:tcMar>
          </w:tcPr>
          <w:p>
            <w:r>
              <w:rPr>
                <w:b/>
                <w:bCs/>
              </w:rPr>
              <w:t xml:space="preserve">Postes fixes</w:t>
            </w:r>
          </w:p>
        </w:tc>
        <w:tc>
          <w:tcPr>
            <w:tcW w:type="dxa" w:w="1200"/>
            <w:shd w:fill="D9E2F3" w:val="clear"/>
            <w:tcMar>
              <w:top w:type="dxa" w:w="60"/>
              <w:left w:type="dxa" w:w="100"/>
              <w:bottom w:type="dxa" w:w="60"/>
              <w:right w:type="dxa" w:w="100"/>
            </w:tcMar>
          </w:tcPr>
          <w:p>
            <w:r>
              <w:rPr>
                <w:b/>
                <w:bCs/>
              </w:rPr>
              <w:t xml:space="preserve">Postes publics</w:t>
            </w:r>
          </w:p>
        </w:tc>
        <w:tc>
          <w:tcPr>
            <w:tcW w:type="dxa" w:w="1700"/>
            <w:shd w:fill="D9E2F3" w:val="clear"/>
            <w:tcMar>
              <w:top w:type="dxa" w:w="60"/>
              <w:left w:type="dxa" w:w="100"/>
              <w:bottom w:type="dxa" w:w="60"/>
              <w:right w:type="dxa" w:w="100"/>
            </w:tcMar>
          </w:tcPr>
          <w:p>
            <w:r>
              <w:rPr>
                <w:b/>
                <w:bCs/>
              </w:rPr>
              <w:t xml:space="preserve">Imprimantes réseau</w:t>
            </w:r>
          </w:p>
        </w:tc>
        <w:tc>
          <w:tcPr>
            <w:tcW w:type="dxa" w:w="1200"/>
            <w:shd w:fill="D9E2F3" w:val="clear"/>
            <w:tcMar>
              <w:top w:type="dxa" w:w="60"/>
              <w:left w:type="dxa" w:w="100"/>
              <w:bottom w:type="dxa" w:w="60"/>
              <w:right w:type="dxa" w:w="100"/>
            </w:tcMar>
          </w:tcPr>
          <w:p>
            <w:r>
              <w:rPr>
                <w:b/>
                <w:bCs/>
              </w:rPr>
              <w:t xml:space="preserve">Bornes Wi-Fi</w:t>
            </w:r>
          </w:p>
        </w:tc>
        <w:tc>
          <w:tcPr>
            <w:tcW w:type="dxa" w:w="1260"/>
            <w:shd w:fill="D9E2F3" w:val="clear"/>
            <w:tcMar>
              <w:top w:type="dxa" w:w="60"/>
              <w:left w:type="dxa" w:w="100"/>
              <w:bottom w:type="dxa" w:w="60"/>
              <w:right w:type="dxa" w:w="100"/>
            </w:tcMar>
          </w:tcPr>
          <w:p>
            <w:r>
              <w:rPr>
                <w:b/>
                <w:bCs/>
              </w:rPr>
              <w:t xml:space="preserve">Distance</w:t>
            </w:r>
          </w:p>
        </w:tc>
      </w:tr>
      <w:tr>
        <w:tc>
          <w:tcPr>
            <w:tcW w:type="dxa" w:w="2800"/>
            <w:tcMar>
              <w:top w:type="dxa" w:w="60"/>
              <w:left w:type="dxa" w:w="100"/>
              <w:bottom w:type="dxa" w:w="60"/>
              <w:right w:type="dxa" w:w="100"/>
            </w:tcMar>
          </w:tcPr>
          <w:p>
            <w:r>
              <w:rPr>
                <w:b w:val="false"/>
                <w:bCs w:val="false"/>
              </w:rPr>
              <w:t xml:space="preserve">Hôtel de ville (bâtiment principal, 3 niveaux + sous-sol)</w:t>
            </w:r>
          </w:p>
        </w:tc>
        <w:tc>
          <w:tcPr>
            <w:tcW w:type="dxa" w:w="1200"/>
            <w:tcMar>
              <w:top w:type="dxa" w:w="60"/>
              <w:left w:type="dxa" w:w="100"/>
              <w:bottom w:type="dxa" w:w="60"/>
              <w:right w:type="dxa" w:w="100"/>
            </w:tcMar>
          </w:tcPr>
          <w:p>
            <w:r>
              <w:rPr>
                <w:b w:val="false"/>
                <w:bCs w:val="false"/>
              </w:rPr>
              <w:t xml:space="preserve">60</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4</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w:t>
            </w:r>
          </w:p>
        </w:tc>
      </w:tr>
      <w:tr>
        <w:tc>
          <w:tcPr>
            <w:tcW w:type="dxa" w:w="2800"/>
            <w:tcMar>
              <w:top w:type="dxa" w:w="60"/>
              <w:left w:type="dxa" w:w="100"/>
              <w:bottom w:type="dxa" w:w="60"/>
              <w:right w:type="dxa" w:w="100"/>
            </w:tcMar>
          </w:tcPr>
          <w:p>
            <w:r>
              <w:rPr>
                <w:b w:val="false"/>
                <w:bCs w:val="false"/>
              </w:rPr>
              <w:t xml:space="preserve">Bibliothèque municipale (bâtiment secondaire)</w:t>
            </w:r>
          </w:p>
        </w:tc>
        <w:tc>
          <w:tcPr>
            <w:tcW w:type="dxa" w:w="1200"/>
            <w:tcMar>
              <w:top w:type="dxa" w:w="60"/>
              <w:left w:type="dxa" w:w="100"/>
              <w:bottom w:type="dxa" w:w="60"/>
              <w:right w:type="dxa" w:w="100"/>
            </w:tcMar>
          </w:tcPr>
          <w:p>
            <w:r>
              <w:rPr>
                <w:b w:val="false"/>
                <w:bCs w:val="false"/>
              </w:rPr>
              <w:t xml:space="preserve">6</w:t>
            </w:r>
          </w:p>
        </w:tc>
        <w:tc>
          <w:tcPr>
            <w:tcW w:type="dxa" w:w="1200"/>
            <w:tcMar>
              <w:top w:type="dxa" w:w="60"/>
              <w:left w:type="dxa" w:w="100"/>
              <w:bottom w:type="dxa" w:w="60"/>
              <w:right w:type="dxa" w:w="100"/>
            </w:tcMar>
          </w:tcPr>
          <w:p>
            <w:r>
              <w:rPr>
                <w:b w:val="false"/>
                <w:bCs w:val="false"/>
              </w:rPr>
              <w:t xml:space="preserve">12</w:t>
            </w:r>
          </w:p>
        </w:tc>
        <w:tc>
          <w:tcPr>
            <w:tcW w:type="dxa" w:w="1700"/>
            <w:tcMar>
              <w:top w:type="dxa" w:w="60"/>
              <w:left w:type="dxa" w:w="100"/>
              <w:bottom w:type="dxa" w:w="60"/>
              <w:right w:type="dxa" w:w="100"/>
            </w:tcMar>
          </w:tcPr>
          <w:p>
            <w:r>
              <w:rPr>
                <w:b w:val="false"/>
                <w:bCs w:val="false"/>
              </w:rPr>
              <w:t xml:space="preserve">1</w:t>
            </w:r>
          </w:p>
        </w:tc>
        <w:tc>
          <w:tcPr>
            <w:tcW w:type="dxa" w:w="1200"/>
            <w:tcMar>
              <w:top w:type="dxa" w:w="60"/>
              <w:left w:type="dxa" w:w="100"/>
              <w:bottom w:type="dxa" w:w="60"/>
              <w:right w:type="dxa" w:w="100"/>
            </w:tcMar>
          </w:tcPr>
          <w:p>
            <w:r>
              <w:rPr>
                <w:b w:val="false"/>
                <w:bCs w:val="false"/>
              </w:rPr>
              <w:t xml:space="preserve">2</w:t>
            </w:r>
          </w:p>
        </w:tc>
        <w:tc>
          <w:tcPr>
            <w:tcW w:type="dxa" w:w="1260"/>
            <w:tcMar>
              <w:top w:type="dxa" w:w="60"/>
              <w:left w:type="dxa" w:w="100"/>
              <w:bottom w:type="dxa" w:w="60"/>
              <w:right w:type="dxa" w:w="100"/>
            </w:tcMar>
          </w:tcPr>
          <w:p>
            <w:r>
              <w:rPr>
                <w:b w:val="false"/>
                <w:bCs w:val="false"/>
              </w:rPr>
              <w:t xml:space="preserve">150 m</w:t>
            </w:r>
          </w:p>
        </w:tc>
      </w:tr>
      <w:tr>
        <w:tc>
          <w:tcPr>
            <w:tcW w:type="dxa" w:w="2800"/>
            <w:tcMar>
              <w:top w:type="dxa" w:w="60"/>
              <w:left w:type="dxa" w:w="100"/>
              <w:bottom w:type="dxa" w:w="60"/>
              <w:right w:type="dxa" w:w="100"/>
            </w:tcMar>
          </w:tcPr>
          <w:p>
            <w:r>
              <w:rPr>
                <w:b w:val="false"/>
                <w:bCs w:val="false"/>
              </w:rPr>
              <w:t xml:space="preserve">Atelier des services techniques (dépôt)</w:t>
            </w:r>
          </w:p>
        </w:tc>
        <w:tc>
          <w:tcPr>
            <w:tcW w:type="dxa" w:w="1200"/>
            <w:tcMar>
              <w:top w:type="dxa" w:w="60"/>
              <w:left w:type="dxa" w:w="100"/>
              <w:bottom w:type="dxa" w:w="60"/>
              <w:right w:type="dxa" w:w="100"/>
            </w:tcMar>
          </w:tcPr>
          <w:p>
            <w:r>
              <w:rPr>
                <w:b w:val="false"/>
                <w:bCs w:val="false"/>
              </w:rPr>
              <w:t xml:space="preserve">8</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0</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80 m</w:t>
            </w:r>
          </w:p>
        </w:tc>
      </w:tr>
    </w:tbl>
    <w:p>
      <w:pPr>
        <w:pStyle w:val="Heading2"/>
        <w:spacing w:after="100" w:before="200"/>
      </w:pPr>
      <w:r>
        <w:rPr>
          <w:b/>
          <w:bCs/>
        </w:rPr>
        <w:t xml:space="preserve">Détail du bâtiment principal (Hôtel de ville)</w:t>
      </w:r>
    </w:p>
    <w:p>
      <w:pPr>
        <w:spacing w:after="120"/>
      </w:pPr>
      <w:r>
        <w:t xml:space="preserve">Les services de la commune sont répartis par étage. Chaque étage dispose d’un local de brassage relié au local IT du sous-sol.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60"/>
        <w:gridCol w:w="1700"/>
        <w:gridCol w:w="1500"/>
      </w:tblGrid>
      <w:tr>
        <w:tc>
          <w:tcPr>
            <w:tcW w:type="dxa" w:w="1700"/>
            <w:shd w:fill="D9E2F3" w:val="clear"/>
            <w:tcMar>
              <w:top w:type="dxa" w:w="60"/>
              <w:left w:type="dxa" w:w="100"/>
              <w:bottom w:type="dxa" w:w="60"/>
              <w:right w:type="dxa" w:w="100"/>
            </w:tcMar>
          </w:tcPr>
          <w:p>
            <w:r>
              <w:rPr>
                <w:b/>
                <w:bCs/>
              </w:rPr>
              <w:t xml:space="preserve">Niveau</w:t>
            </w:r>
          </w:p>
        </w:tc>
        <w:tc>
          <w:tcPr>
            <w:tcW w:type="dxa" w:w="4460"/>
            <w:shd w:fill="D9E2F3" w:val="clear"/>
            <w:tcMar>
              <w:top w:type="dxa" w:w="60"/>
              <w:left w:type="dxa" w:w="100"/>
              <w:bottom w:type="dxa" w:w="60"/>
              <w:right w:type="dxa" w:w="100"/>
            </w:tcMar>
          </w:tcPr>
          <w:p>
            <w:r>
              <w:rPr>
                <w:b/>
                <w:bCs/>
              </w:rPr>
              <w:t xml:space="preserve">Services et équipements</w:t>
            </w:r>
          </w:p>
        </w:tc>
        <w:tc>
          <w:tcPr>
            <w:tcW w:type="dxa" w:w="1700"/>
            <w:shd w:fill="D9E2F3" w:val="clear"/>
            <w:tcMar>
              <w:top w:type="dxa" w:w="60"/>
              <w:left w:type="dxa" w:w="100"/>
              <w:bottom w:type="dxa" w:w="60"/>
              <w:right w:type="dxa" w:w="100"/>
            </w:tcMar>
          </w:tcPr>
          <w:p>
            <w:r>
              <w:rPr>
                <w:b/>
                <w:bCs/>
              </w:rPr>
              <w:t xml:space="preserve">Postes fixes</w:t>
            </w:r>
          </w:p>
        </w:tc>
        <w:tc>
          <w:tcPr>
            <w:tcW w:type="dxa" w:w="1500"/>
            <w:shd w:fill="D9E2F3" w:val="clear"/>
            <w:tcMar>
              <w:top w:type="dxa" w:w="60"/>
              <w:left w:type="dxa" w:w="100"/>
              <w:bottom w:type="dxa" w:w="60"/>
              <w:right w:type="dxa" w:w="100"/>
            </w:tcMar>
          </w:tcPr>
          <w:p>
            <w:r>
              <w:rPr>
                <w:b/>
                <w:bCs/>
              </w:rPr>
              <w:t xml:space="preserve">Imprimantes</w:t>
            </w:r>
          </w:p>
        </w:tc>
      </w:tr>
      <w:tr>
        <w:tc>
          <w:tcPr>
            <w:tcW w:type="dxa" w:w="1700"/>
            <w:tcMar>
              <w:top w:type="dxa" w:w="60"/>
              <w:left w:type="dxa" w:w="100"/>
              <w:bottom w:type="dxa" w:w="60"/>
              <w:right w:type="dxa" w:w="100"/>
            </w:tcMar>
          </w:tcPr>
          <w:p>
            <w:r>
              <w:rPr>
                <w:b w:val="false"/>
                <w:bCs w:val="false"/>
              </w:rPr>
              <w:t xml:space="preserve">Sous-sol</w:t>
            </w:r>
          </w:p>
        </w:tc>
        <w:tc>
          <w:tcPr>
            <w:tcW w:type="dxa" w:w="4460"/>
            <w:tcMar>
              <w:top w:type="dxa" w:w="60"/>
              <w:left w:type="dxa" w:w="100"/>
              <w:bottom w:type="dxa" w:w="60"/>
              <w:right w:type="dxa" w:w="100"/>
            </w:tcMar>
          </w:tcPr>
          <w:p>
            <w:r>
              <w:rPr>
                <w:b w:val="false"/>
                <w:bCs w:val="false"/>
              </w:rPr>
              <w:t xml:space="preserve">Local IT : baie de brassage principale, serveurs internes (intranet, fichiers)</w:t>
            </w:r>
          </w:p>
        </w:tc>
        <w:tc>
          <w:tcPr>
            <w:tcW w:type="dxa" w:w="1700"/>
            <w:tcMar>
              <w:top w:type="dxa" w:w="60"/>
              <w:left w:type="dxa" w:w="100"/>
              <w:bottom w:type="dxa" w:w="60"/>
              <w:right w:type="dxa" w:w="100"/>
            </w:tcMar>
          </w:tcPr>
          <w:p>
            <w:r>
              <w:rPr>
                <w:b w:val="false"/>
                <w:bCs w:val="false"/>
              </w:rPr>
              <w:t xml:space="preserve">2 serveurs</w:t>
            </w:r>
          </w:p>
        </w:tc>
        <w:tc>
          <w:tcPr>
            <w:tcW w:type="dxa" w:w="1500"/>
            <w:tcMar>
              <w:top w:type="dxa" w:w="60"/>
              <w:left w:type="dxa" w:w="100"/>
              <w:bottom w:type="dxa" w:w="60"/>
              <w:right w:type="dxa" w:w="100"/>
            </w:tcMar>
          </w:tcPr>
          <w:p>
            <w:r>
              <w:rPr>
                <w:b w:val="false"/>
                <w:bCs w:val="false"/>
              </w:rPr>
              <w:t xml:space="preserve">—</w:t>
            </w:r>
          </w:p>
        </w:tc>
      </w:tr>
      <w:tr>
        <w:tc>
          <w:tcPr>
            <w:tcW w:type="dxa" w:w="1700"/>
            <w:tcMar>
              <w:top w:type="dxa" w:w="60"/>
              <w:left w:type="dxa" w:w="100"/>
              <w:bottom w:type="dxa" w:w="60"/>
              <w:right w:type="dxa" w:w="100"/>
            </w:tcMar>
          </w:tcPr>
          <w:p>
            <w:r>
              <w:rPr>
                <w:b w:val="false"/>
                <w:bCs w:val="false"/>
              </w:rPr>
              <w:t xml:space="preserve">Rez-de-chaussée</w:t>
            </w:r>
          </w:p>
        </w:tc>
        <w:tc>
          <w:tcPr>
            <w:tcW w:type="dxa" w:w="4460"/>
            <w:tcMar>
              <w:top w:type="dxa" w:w="60"/>
              <w:left w:type="dxa" w:w="100"/>
              <w:bottom w:type="dxa" w:w="60"/>
              <w:right w:type="dxa" w:w="100"/>
            </w:tcMar>
          </w:tcPr>
          <w:p>
            <w:r>
              <w:rPr>
                <w:b w:val="false"/>
                <w:bCs w:val="false"/>
              </w:rPr>
              <w:t xml:space="preserve">Accueil et guichets (service à la population)</w:t>
            </w:r>
          </w:p>
        </w:tc>
        <w:tc>
          <w:tcPr>
            <w:tcW w:type="dxa" w:w="1700"/>
            <w:tcMar>
              <w:top w:type="dxa" w:w="60"/>
              <w:left w:type="dxa" w:w="100"/>
              <w:bottom w:type="dxa" w:w="60"/>
              <w:right w:type="dxa" w:w="100"/>
            </w:tcMar>
          </w:tcPr>
          <w:p>
            <w:r>
              <w:rPr>
                <w:b w:val="false"/>
                <w:bCs w:val="false"/>
              </w:rPr>
              <w:t xml:space="preserve">20</w:t>
            </w:r>
          </w:p>
        </w:tc>
        <w:tc>
          <w:tcPr>
            <w:tcW w:type="dxa" w:w="1500"/>
            <w:tcMar>
              <w:top w:type="dxa" w:w="60"/>
              <w:left w:type="dxa" w:w="100"/>
              <w:bottom w:type="dxa" w:w="60"/>
              <w:right w:type="dxa" w:w="100"/>
            </w:tcMar>
          </w:tcPr>
          <w:p>
            <w:r>
              <w:rPr>
                <w:b w:val="false"/>
                <w:bCs w:val="false"/>
              </w:rPr>
              <w:t xml:space="preserve">2</w:t>
            </w:r>
          </w:p>
        </w:tc>
      </w:tr>
      <w:tr>
        <w:tc>
          <w:tcPr>
            <w:tcW w:type="dxa" w:w="1700"/>
            <w:tcMar>
              <w:top w:type="dxa" w:w="60"/>
              <w:left w:type="dxa" w:w="100"/>
              <w:bottom w:type="dxa" w:w="60"/>
              <w:right w:type="dxa" w:w="100"/>
            </w:tcMar>
          </w:tcPr>
          <w:p>
            <w:r>
              <w:rPr>
                <w:b w:val="false"/>
                <w:bCs w:val="false"/>
              </w:rPr>
              <w:t xml:space="preserve">1er étage</w:t>
            </w:r>
          </w:p>
        </w:tc>
        <w:tc>
          <w:tcPr>
            <w:tcW w:type="dxa" w:w="4460"/>
            <w:tcMar>
              <w:top w:type="dxa" w:w="60"/>
              <w:left w:type="dxa" w:w="100"/>
              <w:bottom w:type="dxa" w:w="60"/>
              <w:right w:type="dxa" w:w="100"/>
            </w:tcMar>
          </w:tcPr>
          <w:p>
            <w:r>
              <w:rPr>
                <w:b w:val="false"/>
                <w:bCs w:val="false"/>
              </w:rPr>
              <w:t xml:space="preserve">Finances et comptabilité</w:t>
            </w:r>
          </w:p>
        </w:tc>
        <w:tc>
          <w:tcPr>
            <w:tcW w:type="dxa" w:w="1700"/>
            <w:tcMar>
              <w:top w:type="dxa" w:w="60"/>
              <w:left w:type="dxa" w:w="100"/>
              <w:bottom w:type="dxa" w:w="60"/>
              <w:right w:type="dxa" w:w="100"/>
            </w:tcMar>
          </w:tcPr>
          <w:p>
            <w:r>
              <w:rPr>
                <w:b w:val="false"/>
                <w:bCs w:val="false"/>
              </w:rPr>
              <w:t xml:space="preserve">22</w:t>
            </w:r>
          </w:p>
        </w:tc>
        <w:tc>
          <w:tcPr>
            <w:tcW w:type="dxa" w:w="1500"/>
            <w:tcMar>
              <w:top w:type="dxa" w:w="60"/>
              <w:left w:type="dxa" w:w="100"/>
              <w:bottom w:type="dxa" w:w="60"/>
              <w:right w:type="dxa" w:w="100"/>
            </w:tcMar>
          </w:tcPr>
          <w:p>
            <w:r>
              <w:rPr>
                <w:b w:val="false"/>
                <w:bCs w:val="false"/>
              </w:rPr>
              <w:t xml:space="preserve">1</w:t>
            </w:r>
          </w:p>
        </w:tc>
      </w:tr>
      <w:tr>
        <w:tc>
          <w:tcPr>
            <w:tcW w:type="dxa" w:w="1700"/>
            <w:tcMar>
              <w:top w:type="dxa" w:w="60"/>
              <w:left w:type="dxa" w:w="100"/>
              <w:bottom w:type="dxa" w:w="60"/>
              <w:right w:type="dxa" w:w="100"/>
            </w:tcMar>
          </w:tcPr>
          <w:p>
            <w:r>
              <w:rPr>
                <w:b w:val="false"/>
                <w:bCs w:val="false"/>
              </w:rPr>
              <w:t xml:space="preserve">2e étage</w:t>
            </w:r>
          </w:p>
        </w:tc>
        <w:tc>
          <w:tcPr>
            <w:tcW w:type="dxa" w:w="4460"/>
            <w:tcMar>
              <w:top w:type="dxa" w:w="60"/>
              <w:left w:type="dxa" w:w="100"/>
              <w:bottom w:type="dxa" w:w="60"/>
              <w:right w:type="dxa" w:w="100"/>
            </w:tcMar>
          </w:tcPr>
          <w:p>
            <w:r>
              <w:rPr>
                <w:b w:val="false"/>
                <w:bCs w:val="false"/>
              </w:rPr>
              <w:t xml:space="preserve">Direction et ressources humaines</w:t>
            </w:r>
          </w:p>
        </w:tc>
        <w:tc>
          <w:tcPr>
            <w:tcW w:type="dxa" w:w="1700"/>
            <w:tcMar>
              <w:top w:type="dxa" w:w="60"/>
              <w:left w:type="dxa" w:w="100"/>
              <w:bottom w:type="dxa" w:w="60"/>
              <w:right w:type="dxa" w:w="100"/>
            </w:tcMar>
          </w:tcPr>
          <w:p>
            <w:r>
              <w:rPr>
                <w:b w:val="false"/>
                <w:bCs w:val="false"/>
              </w:rPr>
              <w:t xml:space="preserve">18</w:t>
            </w:r>
          </w:p>
        </w:tc>
        <w:tc>
          <w:tcPr>
            <w:tcW w:type="dxa" w:w="1500"/>
            <w:tcMar>
              <w:top w:type="dxa" w:w="60"/>
              <w:left w:type="dxa" w:w="100"/>
              <w:bottom w:type="dxa" w:w="60"/>
              <w:right w:type="dxa" w:w="100"/>
            </w:tcMar>
          </w:tcPr>
          <w:p>
            <w:r>
              <w:rPr>
                <w:b w:val="false"/>
                <w:bCs w:val="false"/>
              </w:rPr>
              <w:t xml:space="preserve">1</w:t>
            </w:r>
          </w:p>
        </w:tc>
      </w:tr>
    </w:tbl>
    <w:p>
      <w:pPr>
        <w:spacing w:after="120" w:before="120"/>
      </w:pPr>
      <w:r>
        <w:t xml:space="preserve">Les serveurs internes du sous-sol doivent être accessibles depuis tous les bâtiments. Chaque bâtiment secondaire dispose d’un local technique pouvant accueillir les équipements réseau.</w:t>
      </w:r>
    </w:p>
    <w:p>
      <w:pPr>
        <w:pStyle w:val="Heading1"/>
        <w:spacing w:after="140" w:before="280"/>
      </w:pPr>
      <w:r>
        <w:rPr>
          <w:b/>
          <w:bCs/>
        </w:rPr>
        <w:t xml:space="preserve">3. Exigences techniques</w:t>
      </w:r>
    </w:p>
    <w:p>
      <w:pPr>
        <w:pStyle w:val="ListParagraph"/>
        <w:numPr>
          <w:ilvl w:val="0"/>
          <w:numId w:val="2"/>
        </w:numPr>
        <w:spacing w:after="80"/>
      </w:pPr>
      <w:r>
        <w:rPr>
          <w:b/>
          <w:bCs/>
        </w:rPr>
        <w:t xml:space="preserve">Segmentation en VLANs</w:t>
      </w:r>
      <w:r>
        <w:t xml:space="preserve"> : la liste des VLANs n’est pas fournie. Établissez-la à partir des services, des usages et des équipements décrits ci-dessus, et justifiez chaque VLAN retenu.</w:t>
      </w:r>
    </w:p>
    <w:p>
      <w:pPr>
        <w:pStyle w:val="ListParagraph"/>
        <w:numPr>
          <w:ilvl w:val="0"/>
          <w:numId w:val="2"/>
        </w:numPr>
        <w:spacing w:after="80"/>
      </w:pPr>
      <w:r>
        <w:rPr>
          <w:b/>
          <w:bCs/>
        </w:rPr>
        <w:t xml:space="preserve">Plan d’adressage IPv4</w:t>
      </w:r>
      <w:r>
        <w:t xml:space="preserve"> documenté : une plage par VLAN, masques et passerelles clairement indiqués.</w:t>
      </w:r>
    </w:p>
    <w:p>
      <w:pPr>
        <w:pStyle w:val="ListParagraph"/>
        <w:numPr>
          <w:ilvl w:val="0"/>
          <w:numId w:val="2"/>
        </w:numPr>
        <w:spacing w:after="80"/>
      </w:pPr>
      <w:r>
        <w:rPr>
          <w:b/>
          <w:bCs/>
        </w:rPr>
        <w:t xml:space="preserve">Un routeur par bâtiment</w:t>
      </w:r>
      <w:r>
        <w:t xml:space="preserve"> : chaque bâtiment est desservi par son propre routeur ; les bâtiments sont interconnectés par des liaisons dédiées.</w:t>
      </w:r>
    </w:p>
    <w:p>
      <w:pPr>
        <w:pStyle w:val="ListParagraph"/>
        <w:numPr>
          <w:ilvl w:val="0"/>
          <w:numId w:val="2"/>
        </w:numPr>
        <w:spacing w:after="80"/>
      </w:pPr>
      <w:r>
        <w:rPr>
          <w:b/>
          <w:bCs/>
        </w:rPr>
        <w:t xml:space="preserve">Routage statique uniquement</w:t>
      </w:r>
      <w:r>
        <w:t xml:space="preserve"> : toutes les routes entre bâtiments sont configurées manuellement (ip route). Les protocoles de routage dynamique (RIP, OSPF, EIGRP) sont interdits.</w:t>
      </w:r>
    </w:p>
    <w:p>
      <w:pPr>
        <w:pStyle w:val="ListParagraph"/>
        <w:numPr>
          <w:ilvl w:val="0"/>
          <w:numId w:val="2"/>
        </w:numPr>
        <w:spacing w:after="80"/>
      </w:pPr>
      <w:r>
        <w:rPr>
          <w:b/>
          <w:bCs/>
        </w:rPr>
        <w:t xml:space="preserve">Routage inter-VLAN totalement ouvert</w:t>
      </w:r>
      <w:r>
        <w:t xml:space="preserve"> : chaque VLAN doit pouvoir joindre tous les autres, sans restriction.</w:t>
      </w:r>
    </w:p>
    <w:p>
      <w:pPr>
        <w:pStyle w:val="ListParagraph"/>
        <w:numPr>
          <w:ilvl w:val="0"/>
          <w:numId w:val="2"/>
        </w:numPr>
        <w:spacing w:after="80"/>
      </w:pPr>
      <w:r>
        <w:rPr>
          <w:b/>
          <w:bCs/>
        </w:rPr>
        <w:t xml:space="preserve">Choix des équipements</w:t>
      </w:r>
      <w:r>
        <w:t xml:space="preserve"> (switches, routeurs, bornes Wi-Fi) justifié et adapté au nombre de postes, aux étages et aux bâtiments.</w:t>
      </w:r>
    </w:p>
    <w:p>
      <w:pPr>
        <w:pStyle w:val="ListParagraph"/>
        <w:numPr>
          <w:ilvl w:val="0"/>
          <w:numId w:val="2"/>
        </w:numPr>
        <w:spacing w:after="80"/>
      </w:pPr>
      <w:r>
        <w:rPr>
          <w:b/>
          <w:bCs/>
        </w:rPr>
        <w:t xml:space="preserve">Configuration entièrement réalisée en CLI</w:t>
      </w:r>
      <w:r>
        <w:t xml:space="preserve"> dans Cisco Packet Tracer ; la simulation doit être fonctionnelle (tests ping entre VLANs, étages et bâtiments, accès aux serveurs).</w:t>
      </w:r>
    </w:p>
    <w:p>
      <w:pPr>
        <w:pStyle w:val="ListParagraph"/>
        <w:numPr>
          <w:ilvl w:val="0"/>
          <w:numId w:val="2"/>
        </w:numPr>
        <w:spacing w:after="80"/>
      </w:pPr>
      <w:r>
        <w:rPr>
          <w:b/>
          <w:bCs/>
        </w:rPr>
        <w:t xml:space="preserve">Pour aller plus loin (facultatif)</w:t>
      </w:r>
      <w:r>
        <w:t xml:space="preserve"> : rechercher comment restreindre ou exclure certains accès entre VLANs (p. ex. au moyen d’ACL).</w:t>
      </w:r>
    </w:p>
    <w:p>
      <w:pPr>
        <w:pStyle w:val="Heading1"/>
        <w:spacing w:after="140" w:before="280"/>
      </w:pPr>
      <w:r>
        <w:rPr>
          <w:b/>
          <w:bCs/>
        </w:rPr>
        <w:t xml:space="preserve">4. Livrables et évaluation</w:t>
      </w:r>
    </w:p>
    <w:p>
      <w:pPr>
        <w:spacing w:after="120"/>
      </w:pPr>
      <w:r>
        <w:t xml:space="preserve">Les livrables (schéma réseau, plan d’adressage, fichier .pkt, journal de travail .md, documentation de configuration .docx ou .md, présentation), la procédure et les modalités d’évaluation (oral) sont définis dans le cahier des charges général </w:t>
      </w:r>
      <w:r>
        <w:rPr>
          <w:b/>
          <w:bCs/>
        </w:rPr>
        <w:t xml:space="preserve">H-P_RES-129_CDC</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2026-07-31T12:47:58.628Z</dcterms:created>
  <dcterms:modified xsi:type="dcterms:W3CDTF">2026-07-31T12:47:58.629Z</dcterms:modified>
</cp:coreProperties>
</file>

<file path=docProps/custom.xml><?xml version="1.0" encoding="utf-8"?>
<Properties xmlns="http://schemas.openxmlformats.org/officeDocument/2006/custom-properties" xmlns:vt="http://schemas.openxmlformats.org/officeDocument/2006/docPropsVTypes"/>
</file>