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05D59" w14:textId="6F41787A" w:rsidR="0003003B" w:rsidRDefault="0015182E" w:rsidP="00916D4B">
      <w:pPr>
        <w:pStyle w:val="1"/>
        <w:rPr>
          <w:rFonts w:hint="eastAsia"/>
        </w:rPr>
      </w:pPr>
      <w:r w:rsidRPr="0015182E">
        <w:rPr>
          <w:rFonts w:hint="eastAsia"/>
        </w:rPr>
        <w:t>霍尔木兹封锁前后区域货运交通演变报告</w:t>
      </w:r>
    </w:p>
    <w:p w14:paraId="31308989" w14:textId="2BFF86AE" w:rsidR="0015182E" w:rsidRPr="000F1A81" w:rsidRDefault="0003003B" w:rsidP="000F1A81">
      <w:pPr>
        <w:pStyle w:val="2"/>
      </w:pPr>
      <w:r w:rsidRPr="000F1A81">
        <w:rPr>
          <w:rFonts w:hint="eastAsia"/>
        </w:rPr>
        <w:t>一、研究背景与问题定义</w:t>
      </w:r>
    </w:p>
    <w:p w14:paraId="04DE7BF5" w14:textId="30689DEF" w:rsidR="008B120A" w:rsidRDefault="008B120A" w:rsidP="008B120A">
      <w:pPr>
        <w:pStyle w:val="3"/>
      </w:pPr>
      <w:r w:rsidRPr="008B120A">
        <w:rPr>
          <w:rFonts w:hint="eastAsia"/>
        </w:rPr>
        <w:t xml:space="preserve">1.1 </w:t>
      </w:r>
      <w:r w:rsidRPr="008B120A">
        <w:rPr>
          <w:rFonts w:hint="eastAsia"/>
        </w:rPr>
        <w:t>霍尔木兹海峡的战略地位</w:t>
      </w:r>
    </w:p>
    <w:p w14:paraId="33906CF9" w14:textId="319577AF" w:rsidR="008B120A" w:rsidRDefault="008B120A" w:rsidP="008B120A">
      <w:pPr>
        <w:rPr>
          <w:rFonts w:hint="eastAsia"/>
          <w:shd w:val="clear" w:color="auto" w:fill="FFFFFF"/>
        </w:rPr>
      </w:pPr>
      <w:r>
        <w:rPr>
          <w:shd w:val="clear" w:color="auto" w:fill="FFFFFF"/>
        </w:rPr>
        <w:tab/>
      </w:r>
      <w:r>
        <w:rPr>
          <w:shd w:val="clear" w:color="auto" w:fill="FFFFFF"/>
        </w:rPr>
        <w:t>霍尔木兹海峡位于波斯湾出口，宽度仅约</w:t>
      </w:r>
      <w:r>
        <w:rPr>
          <w:shd w:val="clear" w:color="auto" w:fill="FFFFFF"/>
        </w:rPr>
        <w:t>39</w:t>
      </w:r>
      <w:r>
        <w:rPr>
          <w:shd w:val="clear" w:color="auto" w:fill="FFFFFF"/>
        </w:rPr>
        <w:t>公里，是全球能源运输体系中不可替代的咽喉要道。根据联合国贸易和发展会议（</w:t>
      </w:r>
      <w:r>
        <w:rPr>
          <w:shd w:val="clear" w:color="auto" w:fill="FFFFFF"/>
        </w:rPr>
        <w:t>UNCTAD</w:t>
      </w:r>
      <w:r>
        <w:rPr>
          <w:shd w:val="clear" w:color="auto" w:fill="FFFFFF"/>
        </w:rPr>
        <w:t>）数据，正常情况下该海峡承担全球约</w:t>
      </w:r>
      <w:r>
        <w:rPr>
          <w:shd w:val="clear" w:color="auto" w:fill="FFFFFF"/>
        </w:rPr>
        <w:t>25%</w:t>
      </w:r>
      <w:r>
        <w:rPr>
          <w:shd w:val="clear" w:color="auto" w:fill="FFFFFF"/>
        </w:rPr>
        <w:t>的海运石油贸易，日均原油运输量约</w:t>
      </w:r>
      <w:r>
        <w:rPr>
          <w:shd w:val="clear" w:color="auto" w:fill="FFFFFF"/>
        </w:rPr>
        <w:t>1430</w:t>
      </w:r>
      <w:r>
        <w:rPr>
          <w:shd w:val="clear" w:color="auto" w:fill="FFFFFF"/>
        </w:rPr>
        <w:t>万桶，日均液化天然气（</w:t>
      </w:r>
      <w:r>
        <w:rPr>
          <w:shd w:val="clear" w:color="auto" w:fill="FFFFFF"/>
        </w:rPr>
        <w:t>LNG</w:t>
      </w:r>
      <w:r>
        <w:rPr>
          <w:shd w:val="clear" w:color="auto" w:fill="FFFFFF"/>
        </w:rPr>
        <w:t>）运输量约</w:t>
      </w:r>
      <w:r>
        <w:rPr>
          <w:shd w:val="clear" w:color="auto" w:fill="FFFFFF"/>
        </w:rPr>
        <w:t>104</w:t>
      </w:r>
      <w:r>
        <w:rPr>
          <w:shd w:val="clear" w:color="auto" w:fill="FFFFFF"/>
        </w:rPr>
        <w:t>亿立方英尺，日均成品油运输量约</w:t>
      </w:r>
      <w:r>
        <w:rPr>
          <w:shd w:val="clear" w:color="auto" w:fill="FFFFFF"/>
        </w:rPr>
        <w:t>600</w:t>
      </w:r>
      <w:r>
        <w:rPr>
          <w:shd w:val="clear" w:color="auto" w:fill="FFFFFF"/>
        </w:rPr>
        <w:t>万桶。</w:t>
      </w:r>
    </w:p>
    <w:p w14:paraId="1E694663" w14:textId="472AAB93" w:rsidR="008B120A" w:rsidRDefault="008B120A" w:rsidP="008B120A">
      <w:pPr>
        <w:pStyle w:val="3"/>
      </w:pPr>
      <w:r w:rsidRPr="008B120A">
        <w:rPr>
          <w:rFonts w:hint="eastAsia"/>
        </w:rPr>
        <w:t xml:space="preserve">1.2 </w:t>
      </w:r>
      <w:r w:rsidRPr="008B120A">
        <w:rPr>
          <w:rFonts w:hint="eastAsia"/>
        </w:rPr>
        <w:t>事件时间线</w:t>
      </w:r>
    </w:p>
    <w:p w14:paraId="1071BB72" w14:textId="0A93BB2B" w:rsidR="008B120A" w:rsidRDefault="008B120A" w:rsidP="008B120A">
      <w:pPr>
        <w:rPr>
          <w:rFonts w:hint="eastAsia"/>
          <w:shd w:val="clear" w:color="auto" w:fill="FFFFFF"/>
        </w:rPr>
      </w:pPr>
      <w:r>
        <w:rPr>
          <w:shd w:val="clear" w:color="auto" w:fill="FFFFFF"/>
        </w:rPr>
        <w:tab/>
      </w:r>
      <w:r>
        <w:rPr>
          <w:shd w:val="clear" w:color="auto" w:fill="FFFFFF"/>
        </w:rPr>
        <w:t>2026</w:t>
      </w:r>
      <w:r>
        <w:rPr>
          <w:shd w:val="clear" w:color="auto" w:fill="FFFFFF"/>
        </w:rPr>
        <w:t>年</w:t>
      </w:r>
      <w:r>
        <w:rPr>
          <w:shd w:val="clear" w:color="auto" w:fill="FFFFFF"/>
        </w:rPr>
        <w:t>2</w:t>
      </w:r>
      <w:r>
        <w:rPr>
          <w:shd w:val="clear" w:color="auto" w:fill="FFFFFF"/>
        </w:rPr>
        <w:t>月</w:t>
      </w:r>
      <w:r>
        <w:rPr>
          <w:shd w:val="clear" w:color="auto" w:fill="FFFFFF"/>
        </w:rPr>
        <w:t>28</w:t>
      </w:r>
      <w:r>
        <w:rPr>
          <w:shd w:val="clear" w:color="auto" w:fill="FFFFFF"/>
        </w:rPr>
        <w:t>日，军事冲突升级导致海峡航运安全风险急剧升高。</w:t>
      </w:r>
      <w:r>
        <w:rPr>
          <w:shd w:val="clear" w:color="auto" w:fill="FFFFFF"/>
        </w:rPr>
        <w:t>2</w:t>
      </w:r>
      <w:r>
        <w:rPr>
          <w:shd w:val="clear" w:color="auto" w:fill="FFFFFF"/>
        </w:rPr>
        <w:t>月</w:t>
      </w:r>
      <w:r>
        <w:rPr>
          <w:shd w:val="clear" w:color="auto" w:fill="FFFFFF"/>
        </w:rPr>
        <w:t>27</w:t>
      </w:r>
      <w:r>
        <w:rPr>
          <w:shd w:val="clear" w:color="auto" w:fill="FFFFFF"/>
        </w:rPr>
        <w:t>日海峡通行量仍为</w:t>
      </w:r>
      <w:r>
        <w:rPr>
          <w:shd w:val="clear" w:color="auto" w:fill="FFFFFF"/>
        </w:rPr>
        <w:t>141</w:t>
      </w:r>
      <w:r>
        <w:rPr>
          <w:shd w:val="clear" w:color="auto" w:fill="FFFFFF"/>
        </w:rPr>
        <w:t>艘，处于正常区间上限；</w:t>
      </w:r>
      <w:r>
        <w:rPr>
          <w:shd w:val="clear" w:color="auto" w:fill="FFFFFF"/>
        </w:rPr>
        <w:t>2</w:t>
      </w:r>
      <w:r>
        <w:rPr>
          <w:shd w:val="clear" w:color="auto" w:fill="FFFFFF"/>
        </w:rPr>
        <w:t>月</w:t>
      </w:r>
      <w:r>
        <w:rPr>
          <w:shd w:val="clear" w:color="auto" w:fill="FFFFFF"/>
        </w:rPr>
        <w:t>28</w:t>
      </w:r>
      <w:r>
        <w:rPr>
          <w:shd w:val="clear" w:color="auto" w:fill="FFFFFF"/>
        </w:rPr>
        <w:t>日骤降至</w:t>
      </w:r>
      <w:r>
        <w:rPr>
          <w:shd w:val="clear" w:color="auto" w:fill="FFFFFF"/>
        </w:rPr>
        <w:t>81</w:t>
      </w:r>
      <w:r>
        <w:rPr>
          <w:shd w:val="clear" w:color="auto" w:fill="FFFFFF"/>
        </w:rPr>
        <w:t>艘，降幅</w:t>
      </w:r>
      <w:r>
        <w:rPr>
          <w:shd w:val="clear" w:color="auto" w:fill="FFFFFF"/>
        </w:rPr>
        <w:t>43%</w:t>
      </w:r>
      <w:r>
        <w:rPr>
          <w:shd w:val="clear" w:color="auto" w:fill="FFFFFF"/>
        </w:rPr>
        <w:t>；</w:t>
      </w:r>
      <w:r>
        <w:rPr>
          <w:shd w:val="clear" w:color="auto" w:fill="FFFFFF"/>
        </w:rPr>
        <w:t>3</w:t>
      </w:r>
      <w:r>
        <w:rPr>
          <w:shd w:val="clear" w:color="auto" w:fill="FFFFFF"/>
        </w:rPr>
        <w:t>月</w:t>
      </w:r>
      <w:r>
        <w:rPr>
          <w:shd w:val="clear" w:color="auto" w:fill="FFFFFF"/>
        </w:rPr>
        <w:t>1</w:t>
      </w:r>
      <w:r>
        <w:rPr>
          <w:shd w:val="clear" w:color="auto" w:fill="FFFFFF"/>
        </w:rPr>
        <w:t>日进一步跌至</w:t>
      </w:r>
      <w:r>
        <w:rPr>
          <w:shd w:val="clear" w:color="auto" w:fill="FFFFFF"/>
        </w:rPr>
        <w:t>20</w:t>
      </w:r>
      <w:r>
        <w:rPr>
          <w:shd w:val="clear" w:color="auto" w:fill="FFFFFF"/>
        </w:rPr>
        <w:t>艘；</w:t>
      </w:r>
      <w:r>
        <w:rPr>
          <w:shd w:val="clear" w:color="auto" w:fill="FFFFFF"/>
        </w:rPr>
        <w:t>3</w:t>
      </w:r>
      <w:r>
        <w:rPr>
          <w:shd w:val="clear" w:color="auto" w:fill="FFFFFF"/>
        </w:rPr>
        <w:t>月</w:t>
      </w:r>
      <w:r>
        <w:rPr>
          <w:shd w:val="clear" w:color="auto" w:fill="FFFFFF"/>
        </w:rPr>
        <w:t>2</w:t>
      </w:r>
      <w:r>
        <w:rPr>
          <w:shd w:val="clear" w:color="auto" w:fill="FFFFFF"/>
        </w:rPr>
        <w:t>至</w:t>
      </w:r>
      <w:r>
        <w:rPr>
          <w:shd w:val="clear" w:color="auto" w:fill="FFFFFF"/>
        </w:rPr>
        <w:t>3</w:t>
      </w:r>
      <w:r>
        <w:rPr>
          <w:shd w:val="clear" w:color="auto" w:fill="FFFFFF"/>
        </w:rPr>
        <w:t>日仅</w:t>
      </w:r>
      <w:r>
        <w:rPr>
          <w:shd w:val="clear" w:color="auto" w:fill="FFFFFF"/>
        </w:rPr>
        <w:t>3</w:t>
      </w:r>
      <w:r>
        <w:rPr>
          <w:shd w:val="clear" w:color="auto" w:fill="FFFFFF"/>
        </w:rPr>
        <w:t>至</w:t>
      </w:r>
      <w:r>
        <w:rPr>
          <w:shd w:val="clear" w:color="auto" w:fill="FFFFFF"/>
        </w:rPr>
        <w:t>10</w:t>
      </w:r>
      <w:r>
        <w:rPr>
          <w:shd w:val="clear" w:color="auto" w:fill="FFFFFF"/>
        </w:rPr>
        <w:t>艘；</w:t>
      </w:r>
      <w:r>
        <w:rPr>
          <w:shd w:val="clear" w:color="auto" w:fill="FFFFFF"/>
        </w:rPr>
        <w:t>3</w:t>
      </w:r>
      <w:r>
        <w:rPr>
          <w:shd w:val="clear" w:color="auto" w:fill="FFFFFF"/>
        </w:rPr>
        <w:t>月</w:t>
      </w:r>
      <w:r>
        <w:rPr>
          <w:shd w:val="clear" w:color="auto" w:fill="FFFFFF"/>
        </w:rPr>
        <w:t>4</w:t>
      </w:r>
      <w:r>
        <w:rPr>
          <w:shd w:val="clear" w:color="auto" w:fill="FFFFFF"/>
        </w:rPr>
        <w:t>至</w:t>
      </w:r>
      <w:r>
        <w:rPr>
          <w:shd w:val="clear" w:color="auto" w:fill="FFFFFF"/>
        </w:rPr>
        <w:t>7</w:t>
      </w:r>
      <w:r>
        <w:rPr>
          <w:shd w:val="clear" w:color="auto" w:fill="FFFFFF"/>
        </w:rPr>
        <w:t>日</w:t>
      </w:r>
      <w:proofErr w:type="gramStart"/>
      <w:r>
        <w:rPr>
          <w:shd w:val="clear" w:color="auto" w:fill="FFFFFF"/>
        </w:rPr>
        <w:t>日均仅</w:t>
      </w:r>
      <w:proofErr w:type="gramEnd"/>
      <w:r>
        <w:rPr>
          <w:shd w:val="clear" w:color="auto" w:fill="FFFFFF"/>
        </w:rPr>
        <w:t>4</w:t>
      </w:r>
      <w:r>
        <w:rPr>
          <w:shd w:val="clear" w:color="auto" w:fill="FFFFFF"/>
        </w:rPr>
        <w:t>至</w:t>
      </w:r>
      <w:r>
        <w:rPr>
          <w:shd w:val="clear" w:color="auto" w:fill="FFFFFF"/>
        </w:rPr>
        <w:t>6</w:t>
      </w:r>
      <w:r>
        <w:rPr>
          <w:shd w:val="clear" w:color="auto" w:fill="FFFFFF"/>
        </w:rPr>
        <w:t>艘，较基线降幅达</w:t>
      </w:r>
      <w:r>
        <w:rPr>
          <w:shd w:val="clear" w:color="auto" w:fill="FFFFFF"/>
        </w:rPr>
        <w:t>97%</w:t>
      </w:r>
      <w:r>
        <w:rPr>
          <w:shd w:val="clear" w:color="auto" w:fill="FFFFFF"/>
        </w:rPr>
        <w:t>。封锁持续约</w:t>
      </w:r>
      <w:r>
        <w:rPr>
          <w:shd w:val="clear" w:color="auto" w:fill="FFFFFF"/>
        </w:rPr>
        <w:t>100</w:t>
      </w:r>
      <w:r>
        <w:rPr>
          <w:shd w:val="clear" w:color="auto" w:fill="FFFFFF"/>
        </w:rPr>
        <w:t>余天，直至</w:t>
      </w:r>
      <w:r>
        <w:rPr>
          <w:shd w:val="clear" w:color="auto" w:fill="FFFFFF"/>
        </w:rPr>
        <w:t>6</w:t>
      </w:r>
      <w:r>
        <w:rPr>
          <w:shd w:val="clear" w:color="auto" w:fill="FFFFFF"/>
        </w:rPr>
        <w:t>月下旬各方达成协议后逐步恢复通行。</w:t>
      </w:r>
    </w:p>
    <w:p w14:paraId="490AF4F8" w14:textId="2671AE8D" w:rsidR="008B120A" w:rsidRDefault="008B120A" w:rsidP="008B120A">
      <w:pPr>
        <w:pStyle w:val="3"/>
      </w:pPr>
      <w:r w:rsidRPr="008B120A">
        <w:rPr>
          <w:rFonts w:hint="eastAsia"/>
        </w:rPr>
        <w:t xml:space="preserve">1.3 </w:t>
      </w:r>
      <w:r w:rsidRPr="008B120A">
        <w:rPr>
          <w:rFonts w:hint="eastAsia"/>
        </w:rPr>
        <w:t>研究问题</w:t>
      </w:r>
    </w:p>
    <w:p w14:paraId="0FA45875" w14:textId="5DA1A216" w:rsidR="008B120A" w:rsidRDefault="008B120A" w:rsidP="008B120A">
      <w:r>
        <w:tab/>
      </w:r>
      <w:r>
        <w:t>本研究关注的核心问题并非简单判断海峡是否</w:t>
      </w:r>
      <w:r>
        <w:t>"</w:t>
      </w:r>
      <w:r>
        <w:t>物理关闭</w:t>
      </w:r>
      <w:r>
        <w:t>"</w:t>
      </w:r>
      <w:r>
        <w:t>，而是通过船舶实际运动数据回答：</w:t>
      </w:r>
    </w:p>
    <w:p w14:paraId="2EE24B5C" w14:textId="649783F8" w:rsidR="008B120A" w:rsidRDefault="008B120A" w:rsidP="008B120A">
      <w:pPr>
        <w:pStyle w:val="a7"/>
        <w:numPr>
          <w:ilvl w:val="0"/>
          <w:numId w:val="3"/>
        </w:numPr>
        <w:ind w:firstLineChars="0"/>
      </w:pPr>
      <w:r>
        <w:t>封锁发生前后，区域货运交通流是否发生显著变化？变化的空间特征如何？</w:t>
      </w:r>
    </w:p>
    <w:p w14:paraId="3A71CD82" w14:textId="178440B3" w:rsidR="008B120A" w:rsidRDefault="008B120A" w:rsidP="008B120A">
      <w:pPr>
        <w:pStyle w:val="a7"/>
        <w:numPr>
          <w:ilvl w:val="0"/>
          <w:numId w:val="3"/>
        </w:numPr>
        <w:ind w:firstLineChars="0"/>
      </w:pPr>
      <w:r>
        <w:t>霍尔木兹海峡主要航道构成及各航道在本次事件中的受影响情况分别如何？</w:t>
      </w:r>
    </w:p>
    <w:p w14:paraId="3AE5B9D6" w14:textId="7B651B57" w:rsidR="008B120A" w:rsidRDefault="008B120A" w:rsidP="008B120A">
      <w:pPr>
        <w:pStyle w:val="a7"/>
        <w:numPr>
          <w:ilvl w:val="0"/>
          <w:numId w:val="3"/>
        </w:numPr>
        <w:ind w:firstLineChars="0"/>
      </w:pPr>
      <w:r>
        <w:t>受航道受阻影响，主要产生滞留的船只集中在哪些区域或港口？</w:t>
      </w:r>
    </w:p>
    <w:p w14:paraId="1A1BCB36" w14:textId="653DDEF9" w:rsidR="008B120A" w:rsidRDefault="008B120A" w:rsidP="008B120A">
      <w:pPr>
        <w:pStyle w:val="a7"/>
        <w:numPr>
          <w:ilvl w:val="0"/>
          <w:numId w:val="3"/>
        </w:numPr>
        <w:ind w:firstLineChars="0"/>
      </w:pPr>
      <w:r>
        <w:t>不同类型船舶（油轮、</w:t>
      </w:r>
      <w:r>
        <w:t>LNG</w:t>
      </w:r>
      <w:r>
        <w:t>船、其他船型）的响应是否存在差异？</w:t>
      </w:r>
    </w:p>
    <w:p w14:paraId="7242272B" w14:textId="6AEC72CA" w:rsidR="008B120A" w:rsidRDefault="008B120A" w:rsidP="00045BE6">
      <w:pPr>
        <w:pStyle w:val="a7"/>
        <w:widowControl/>
        <w:numPr>
          <w:ilvl w:val="0"/>
          <w:numId w:val="3"/>
        </w:numPr>
        <w:spacing w:line="240" w:lineRule="auto"/>
        <w:ind w:firstLineChars="0"/>
        <w:jc w:val="left"/>
      </w:pPr>
      <w:r>
        <w:t>区域交通变化如何通过航运市场与能源价格传导至全球供应链？</w:t>
      </w:r>
      <w:r>
        <w:br w:type="page"/>
      </w:r>
    </w:p>
    <w:p w14:paraId="3DE189D6" w14:textId="1E9E8D18" w:rsidR="008B120A" w:rsidRDefault="008B120A" w:rsidP="000F1A81">
      <w:pPr>
        <w:pStyle w:val="2"/>
      </w:pPr>
      <w:r w:rsidRPr="008B120A">
        <w:lastRenderedPageBreak/>
        <w:t>二、数据来源与研究方法</w:t>
      </w:r>
    </w:p>
    <w:p w14:paraId="439782DF" w14:textId="10CF41BD" w:rsidR="008B120A" w:rsidRDefault="008B120A" w:rsidP="008B120A">
      <w:pPr>
        <w:pStyle w:val="3"/>
      </w:pPr>
      <w:r w:rsidRPr="008B120A">
        <w:rPr>
          <w:rFonts w:hint="eastAsia"/>
        </w:rPr>
        <w:t>2.1 AIS</w:t>
      </w:r>
      <w:r w:rsidRPr="008B120A">
        <w:rPr>
          <w:rFonts w:hint="eastAsia"/>
        </w:rPr>
        <w:t>船舶轨迹数据</w:t>
      </w:r>
    </w:p>
    <w:p w14:paraId="29082B99" w14:textId="4A18AEB6" w:rsidR="008B120A" w:rsidRDefault="008B120A" w:rsidP="008B120A">
      <w:pPr>
        <w:rPr>
          <w:rFonts w:hint="eastAsia"/>
          <w:shd w:val="clear" w:color="auto" w:fill="FFFFFF"/>
        </w:rPr>
      </w:pPr>
      <w:r>
        <w:rPr>
          <w:shd w:val="clear" w:color="auto" w:fill="FFFFFF"/>
        </w:rPr>
        <w:tab/>
      </w:r>
      <w:r>
        <w:rPr>
          <w:shd w:val="clear" w:color="auto" w:fill="FFFFFF"/>
        </w:rPr>
        <w:t>本文核心数据来源为船舶自动识别系统（</w:t>
      </w:r>
      <w:r>
        <w:rPr>
          <w:shd w:val="clear" w:color="auto" w:fill="FFFFFF"/>
        </w:rPr>
        <w:t>AIS</w:t>
      </w:r>
      <w:r>
        <w:rPr>
          <w:shd w:val="clear" w:color="auto" w:fill="FFFFFF"/>
        </w:rPr>
        <w:t>）动态轨迹数据，覆盖</w:t>
      </w:r>
      <w:r>
        <w:rPr>
          <w:shd w:val="clear" w:color="auto" w:fill="FFFFFF"/>
        </w:rPr>
        <w:t>2025</w:t>
      </w:r>
      <w:r>
        <w:rPr>
          <w:shd w:val="clear" w:color="auto" w:fill="FFFFFF"/>
        </w:rPr>
        <w:t>年</w:t>
      </w:r>
      <w:r>
        <w:rPr>
          <w:shd w:val="clear" w:color="auto" w:fill="FFFFFF"/>
        </w:rPr>
        <w:t>3</w:t>
      </w:r>
      <w:r>
        <w:rPr>
          <w:shd w:val="clear" w:color="auto" w:fill="FFFFFF"/>
        </w:rPr>
        <w:t>月至</w:t>
      </w:r>
      <w:r>
        <w:rPr>
          <w:shd w:val="clear" w:color="auto" w:fill="FFFFFF"/>
        </w:rPr>
        <w:t>4</w:t>
      </w:r>
      <w:r>
        <w:rPr>
          <w:shd w:val="clear" w:color="auto" w:fill="FFFFFF"/>
        </w:rPr>
        <w:t>月（封锁前基线期）与</w:t>
      </w:r>
      <w:r>
        <w:rPr>
          <w:shd w:val="clear" w:color="auto" w:fill="FFFFFF"/>
        </w:rPr>
        <w:t>2026</w:t>
      </w:r>
      <w:r>
        <w:rPr>
          <w:shd w:val="clear" w:color="auto" w:fill="FFFFFF"/>
        </w:rPr>
        <w:t>年</w:t>
      </w:r>
      <w:r>
        <w:rPr>
          <w:shd w:val="clear" w:color="auto" w:fill="FFFFFF"/>
        </w:rPr>
        <w:t>3</w:t>
      </w:r>
      <w:r>
        <w:rPr>
          <w:shd w:val="clear" w:color="auto" w:fill="FFFFFF"/>
        </w:rPr>
        <w:t>月至</w:t>
      </w:r>
      <w:r>
        <w:rPr>
          <w:shd w:val="clear" w:color="auto" w:fill="FFFFFF"/>
        </w:rPr>
        <w:t>4</w:t>
      </w:r>
      <w:r>
        <w:rPr>
          <w:shd w:val="clear" w:color="auto" w:fill="FFFFFF"/>
        </w:rPr>
        <w:t>月（封锁期）。</w:t>
      </w:r>
      <w:r>
        <w:rPr>
          <w:shd w:val="clear" w:color="auto" w:fill="FFFFFF"/>
        </w:rPr>
        <w:t>AIS</w:t>
      </w:r>
      <w:r>
        <w:rPr>
          <w:shd w:val="clear" w:color="auto" w:fill="FFFFFF"/>
        </w:rPr>
        <w:t>数据包含静态信息（</w:t>
      </w:r>
      <w:r>
        <w:rPr>
          <w:shd w:val="clear" w:color="auto" w:fill="FFFFFF"/>
        </w:rPr>
        <w:t>MMSI</w:t>
      </w:r>
      <w:r>
        <w:rPr>
          <w:shd w:val="clear" w:color="auto" w:fill="FFFFFF"/>
        </w:rPr>
        <w:t>、</w:t>
      </w:r>
      <w:r>
        <w:rPr>
          <w:shd w:val="clear" w:color="auto" w:fill="FFFFFF"/>
        </w:rPr>
        <w:t>IMO</w:t>
      </w:r>
      <w:r>
        <w:rPr>
          <w:shd w:val="clear" w:color="auto" w:fill="FFFFFF"/>
        </w:rPr>
        <w:t>编号、船舶类型、船长、吃水深度）和动态信息（经纬度、时间戳、航速</w:t>
      </w:r>
      <w:r>
        <w:rPr>
          <w:shd w:val="clear" w:color="auto" w:fill="FFFFFF"/>
        </w:rPr>
        <w:t>SOG</w:t>
      </w:r>
      <w:r>
        <w:rPr>
          <w:shd w:val="clear" w:color="auto" w:fill="FFFFFF"/>
        </w:rPr>
        <w:t>、航向</w:t>
      </w:r>
      <w:r>
        <w:rPr>
          <w:shd w:val="clear" w:color="auto" w:fill="FFFFFF"/>
        </w:rPr>
        <w:t>COG</w:t>
      </w:r>
      <w:r>
        <w:rPr>
          <w:shd w:val="clear" w:color="auto" w:fill="FFFFFF"/>
        </w:rPr>
        <w:t>）。</w:t>
      </w:r>
    </w:p>
    <w:p w14:paraId="1787B4AC" w14:textId="26439D85" w:rsidR="008B120A" w:rsidRDefault="008B120A" w:rsidP="008B120A">
      <w:pPr>
        <w:rPr>
          <w:rFonts w:ascii="Helvetica" w:hAnsi="Helvetica" w:cs="Helvetica"/>
          <w:color w:val="333333"/>
          <w:shd w:val="clear" w:color="auto" w:fill="FFFFFF"/>
        </w:rPr>
      </w:pPr>
      <w:r>
        <w:rPr>
          <w:rFonts w:ascii="Helvetica" w:hAnsi="Helvetica" w:cs="Helvetica"/>
          <w:color w:val="333333"/>
          <w:shd w:val="clear" w:color="auto" w:fill="FFFFFF"/>
        </w:rPr>
        <w:tab/>
      </w:r>
      <w:r>
        <w:rPr>
          <w:rFonts w:ascii="Helvetica" w:hAnsi="Helvetica" w:cs="Helvetica"/>
          <w:color w:val="333333"/>
          <w:shd w:val="clear" w:color="auto" w:fill="FFFFFF"/>
        </w:rPr>
        <w:t>数据</w:t>
      </w:r>
      <w:r w:rsidR="00D31F01">
        <w:rPr>
          <w:rFonts w:ascii="Helvetica" w:hAnsi="Helvetica" w:cs="Helvetica" w:hint="eastAsia"/>
          <w:color w:val="333333"/>
          <w:shd w:val="clear" w:color="auto" w:fill="FFFFFF"/>
        </w:rPr>
        <w:t>清洗</w:t>
      </w:r>
      <w:r>
        <w:rPr>
          <w:rFonts w:ascii="Helvetica" w:hAnsi="Helvetica" w:cs="Helvetica"/>
          <w:color w:val="333333"/>
          <w:shd w:val="clear" w:color="auto" w:fill="FFFFFF"/>
        </w:rPr>
        <w:t>流程如下：</w:t>
      </w:r>
    </w:p>
    <w:p w14:paraId="5373F0C1"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clean_dynamic_</w:t>
      </w:r>
      <w:proofErr w:type="gramStart"/>
      <w:r>
        <w:rPr>
          <w:rFonts w:ascii="Consolas" w:hAnsi="Consolas" w:cs="Courier New"/>
          <w:color w:val="000000"/>
          <w:sz w:val="17"/>
          <w:szCs w:val="17"/>
        </w:rPr>
        <w:t>ais</w:t>
      </w:r>
      <w:r>
        <w:rPr>
          <w:rFonts w:ascii="Consolas" w:hAnsi="Consolas" w:cs="Courier New"/>
          <w:color w:val="666600"/>
          <w:sz w:val="17"/>
          <w:szCs w:val="17"/>
        </w:rPr>
        <w:t>(</w:t>
      </w:r>
      <w:proofErr w:type="gramEnd"/>
      <w:r>
        <w:rPr>
          <w:rFonts w:ascii="Consolas" w:hAnsi="Consolas" w:cs="Courier New"/>
          <w:color w:val="000000"/>
          <w:sz w:val="17"/>
          <w:szCs w:val="17"/>
        </w:rPr>
        <w:t>chunk</w:t>
      </w:r>
      <w:r>
        <w:rPr>
          <w:rFonts w:ascii="Consolas" w:hAnsi="Consolas" w:cs="Courier New"/>
          <w:color w:val="666600"/>
          <w:sz w:val="17"/>
          <w:szCs w:val="17"/>
        </w:rPr>
        <w:t>,</w:t>
      </w:r>
      <w:r>
        <w:rPr>
          <w:rFonts w:ascii="Consolas" w:hAnsi="Consolas" w:cs="Courier New"/>
          <w:color w:val="000000"/>
          <w:sz w:val="17"/>
          <w:szCs w:val="17"/>
        </w:rPr>
        <w:t xml:space="preserve"> date</w:t>
      </w:r>
      <w:r>
        <w:rPr>
          <w:rFonts w:ascii="Consolas" w:hAnsi="Consolas" w:cs="Courier New"/>
          <w:color w:val="666600"/>
          <w:sz w:val="17"/>
          <w:szCs w:val="17"/>
        </w:rPr>
        <w:t>):</w:t>
      </w:r>
    </w:p>
    <w:p w14:paraId="21E80936"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动态</w:t>
      </w:r>
      <w:r>
        <w:rPr>
          <w:rFonts w:ascii="Consolas" w:hAnsi="Consolas" w:cs="Courier New"/>
          <w:color w:val="008800"/>
          <w:sz w:val="17"/>
          <w:szCs w:val="17"/>
        </w:rPr>
        <w:t xml:space="preserve"> AIS </w:t>
      </w:r>
      <w:r>
        <w:rPr>
          <w:rFonts w:ascii="Consolas" w:hAnsi="Consolas" w:cs="Courier New"/>
          <w:color w:val="008800"/>
          <w:sz w:val="17"/>
          <w:szCs w:val="17"/>
        </w:rPr>
        <w:t>数据清洗：单位转换与派生字段</w:t>
      </w:r>
      <w:r>
        <w:rPr>
          <w:rFonts w:ascii="Consolas" w:hAnsi="Consolas" w:cs="Courier New"/>
          <w:color w:val="008800"/>
          <w:sz w:val="17"/>
          <w:szCs w:val="17"/>
        </w:rPr>
        <w:t>"""</w:t>
      </w:r>
    </w:p>
    <w:p w14:paraId="5DB62213"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xml:space="preserve"># 1. </w:t>
      </w:r>
      <w:r>
        <w:rPr>
          <w:rFonts w:ascii="Consolas" w:hAnsi="Consolas" w:cs="Courier New"/>
          <w:color w:val="880000"/>
          <w:sz w:val="17"/>
          <w:szCs w:val="17"/>
        </w:rPr>
        <w:t>时间戳：秒级</w:t>
      </w:r>
      <w:r>
        <w:rPr>
          <w:rFonts w:ascii="Consolas" w:hAnsi="Consolas" w:cs="Courier New"/>
          <w:color w:val="880000"/>
          <w:sz w:val="17"/>
          <w:szCs w:val="17"/>
        </w:rPr>
        <w:t xml:space="preserve"> UTC → datetime</w:t>
      </w:r>
    </w:p>
    <w:p w14:paraId="2F461B5B"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880000"/>
          <w:sz w:val="17"/>
          <w:szCs w:val="17"/>
        </w:rPr>
        <w:t xml:space="preserve"># 2. </w:t>
      </w:r>
      <w:r>
        <w:rPr>
          <w:rFonts w:ascii="Consolas" w:hAnsi="Consolas" w:cs="Courier New"/>
          <w:color w:val="880000"/>
          <w:sz w:val="17"/>
          <w:szCs w:val="17"/>
        </w:rPr>
        <w:t>坐标：原始值</w:t>
      </w:r>
      <w:r>
        <w:rPr>
          <w:rFonts w:ascii="Consolas" w:hAnsi="Consolas" w:cs="Courier New"/>
          <w:color w:val="880000"/>
          <w:sz w:val="17"/>
          <w:szCs w:val="17"/>
        </w:rPr>
        <w:t xml:space="preserve"> ÷ 1e6</w:t>
      </w:r>
    </w:p>
    <w:p w14:paraId="2F942D7A"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3. </w:t>
      </w:r>
      <w:r>
        <w:rPr>
          <w:rFonts w:ascii="Consolas" w:hAnsi="Consolas" w:cs="Courier New"/>
          <w:color w:val="880000"/>
          <w:sz w:val="17"/>
          <w:szCs w:val="17"/>
        </w:rPr>
        <w:t>速度：原始值</w:t>
      </w:r>
      <w:r>
        <w:rPr>
          <w:rFonts w:ascii="Consolas" w:hAnsi="Consolas" w:cs="Courier New"/>
          <w:color w:val="880000"/>
          <w:sz w:val="17"/>
          <w:szCs w:val="17"/>
        </w:rPr>
        <w:t xml:space="preserve"> ÷ 10 → </w:t>
      </w:r>
      <w:r>
        <w:rPr>
          <w:rFonts w:ascii="Consolas" w:hAnsi="Consolas" w:cs="Courier New"/>
          <w:color w:val="880000"/>
          <w:sz w:val="17"/>
          <w:szCs w:val="17"/>
        </w:rPr>
        <w:t>节（</w:t>
      </w:r>
      <w:r>
        <w:rPr>
          <w:rFonts w:ascii="Consolas" w:hAnsi="Consolas" w:cs="Courier New"/>
          <w:color w:val="880000"/>
          <w:sz w:val="17"/>
          <w:szCs w:val="17"/>
        </w:rPr>
        <w:t>knots</w:t>
      </w:r>
      <w:r>
        <w:rPr>
          <w:rFonts w:ascii="Consolas" w:hAnsi="Consolas" w:cs="Courier New"/>
          <w:color w:val="880000"/>
          <w:sz w:val="17"/>
          <w:szCs w:val="17"/>
        </w:rPr>
        <w:t>），再换算为</w:t>
      </w:r>
      <w:r>
        <w:rPr>
          <w:rFonts w:ascii="Consolas" w:hAnsi="Consolas" w:cs="Courier New"/>
          <w:color w:val="880000"/>
          <w:sz w:val="17"/>
          <w:szCs w:val="17"/>
        </w:rPr>
        <w:t xml:space="preserve"> m/s</w:t>
      </w:r>
    </w:p>
    <w:p w14:paraId="62A17CBB"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xml:space="preserve"># 4. </w:t>
      </w:r>
      <w:r>
        <w:rPr>
          <w:rFonts w:ascii="Consolas" w:hAnsi="Consolas" w:cs="Courier New"/>
          <w:color w:val="880000"/>
          <w:sz w:val="17"/>
          <w:szCs w:val="17"/>
        </w:rPr>
        <w:t>角度：原始值</w:t>
      </w:r>
      <w:r>
        <w:rPr>
          <w:rFonts w:ascii="Consolas" w:hAnsi="Consolas" w:cs="Courier New"/>
          <w:color w:val="880000"/>
          <w:sz w:val="17"/>
          <w:szCs w:val="17"/>
        </w:rPr>
        <w:t xml:space="preserve"> ÷ 100 → </w:t>
      </w:r>
      <w:r>
        <w:rPr>
          <w:rFonts w:ascii="Consolas" w:hAnsi="Consolas" w:cs="Courier New"/>
          <w:color w:val="880000"/>
          <w:sz w:val="17"/>
          <w:szCs w:val="17"/>
        </w:rPr>
        <w:t>度</w:t>
      </w:r>
    </w:p>
    <w:p w14:paraId="683B02D9"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 xml:space="preserve"># 5. </w:t>
      </w:r>
      <w:r>
        <w:rPr>
          <w:rFonts w:ascii="Consolas" w:hAnsi="Consolas" w:cs="Courier New"/>
          <w:color w:val="880000"/>
          <w:sz w:val="17"/>
          <w:szCs w:val="17"/>
        </w:rPr>
        <w:t>挂接日期分区</w:t>
      </w:r>
    </w:p>
    <w:p w14:paraId="3AE934C5"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F9A3FA9"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clean_static_ais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p>
    <w:p w14:paraId="7B8904EB"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静态</w:t>
      </w:r>
      <w:r>
        <w:rPr>
          <w:rFonts w:ascii="Consolas" w:hAnsi="Consolas" w:cs="Courier New"/>
          <w:color w:val="008800"/>
          <w:sz w:val="17"/>
          <w:szCs w:val="17"/>
        </w:rPr>
        <w:t xml:space="preserve"> AIS </w:t>
      </w:r>
      <w:r>
        <w:rPr>
          <w:rFonts w:ascii="Consolas" w:hAnsi="Consolas" w:cs="Courier New"/>
          <w:color w:val="008800"/>
          <w:sz w:val="17"/>
          <w:szCs w:val="17"/>
        </w:rPr>
        <w:t>数据清洗：列名标准化、</w:t>
      </w:r>
      <w:r>
        <w:rPr>
          <w:rFonts w:ascii="Consolas" w:hAnsi="Consolas" w:cs="Courier New"/>
          <w:color w:val="008800"/>
          <w:sz w:val="17"/>
          <w:szCs w:val="17"/>
        </w:rPr>
        <w:t xml:space="preserve">MMSI </w:t>
      </w:r>
      <w:r>
        <w:rPr>
          <w:rFonts w:ascii="Consolas" w:hAnsi="Consolas" w:cs="Courier New"/>
          <w:color w:val="008800"/>
          <w:sz w:val="17"/>
          <w:szCs w:val="17"/>
        </w:rPr>
        <w:t>过滤、类型统一、去重</w:t>
      </w:r>
      <w:r>
        <w:rPr>
          <w:rFonts w:ascii="Consolas" w:hAnsi="Consolas" w:cs="Courier New"/>
          <w:color w:val="008800"/>
          <w:sz w:val="17"/>
          <w:szCs w:val="17"/>
        </w:rPr>
        <w:t>"""</w:t>
      </w:r>
    </w:p>
    <w:p w14:paraId="528E92FF"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xml:space="preserve"># 1. </w:t>
      </w:r>
      <w:r>
        <w:rPr>
          <w:rFonts w:ascii="Consolas" w:hAnsi="Consolas" w:cs="Courier New"/>
          <w:color w:val="880000"/>
          <w:sz w:val="17"/>
          <w:szCs w:val="17"/>
        </w:rPr>
        <w:t>列名规范化</w:t>
      </w:r>
    </w:p>
    <w:p w14:paraId="42AA2291"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xml:space="preserve"># 2. MMSI </w:t>
      </w:r>
      <w:r>
        <w:rPr>
          <w:rFonts w:ascii="Consolas" w:hAnsi="Consolas" w:cs="Courier New"/>
          <w:color w:val="880000"/>
          <w:sz w:val="17"/>
          <w:szCs w:val="17"/>
        </w:rPr>
        <w:t>清洗：去空白</w:t>
      </w:r>
      <w:r>
        <w:rPr>
          <w:rFonts w:ascii="Consolas" w:hAnsi="Consolas" w:cs="Courier New"/>
          <w:color w:val="880000"/>
          <w:sz w:val="17"/>
          <w:szCs w:val="17"/>
        </w:rPr>
        <w:t>/</w:t>
      </w:r>
      <w:r>
        <w:rPr>
          <w:rFonts w:ascii="Consolas" w:hAnsi="Consolas" w:cs="Courier New"/>
          <w:color w:val="880000"/>
          <w:sz w:val="17"/>
          <w:szCs w:val="17"/>
        </w:rPr>
        <w:t>引号，仅保留</w:t>
      </w:r>
      <w:r>
        <w:rPr>
          <w:rFonts w:ascii="Consolas" w:hAnsi="Consolas" w:cs="Courier New"/>
          <w:color w:val="880000"/>
          <w:sz w:val="17"/>
          <w:szCs w:val="17"/>
        </w:rPr>
        <w:t xml:space="preserve"> 9 </w:t>
      </w:r>
      <w:proofErr w:type="gramStart"/>
      <w:r>
        <w:rPr>
          <w:rFonts w:ascii="Consolas" w:hAnsi="Consolas" w:cs="Courier New"/>
          <w:color w:val="880000"/>
          <w:sz w:val="17"/>
          <w:szCs w:val="17"/>
        </w:rPr>
        <w:t>位纯数字</w:t>
      </w:r>
      <w:proofErr w:type="gramEnd"/>
    </w:p>
    <w:p w14:paraId="13FCFE07"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xml:space="preserve"># 3. </w:t>
      </w:r>
      <w:r>
        <w:rPr>
          <w:rFonts w:ascii="Consolas" w:hAnsi="Consolas" w:cs="Courier New"/>
          <w:color w:val="880000"/>
          <w:sz w:val="17"/>
          <w:szCs w:val="17"/>
        </w:rPr>
        <w:t>字段类型统一（失败则置空）</w:t>
      </w:r>
    </w:p>
    <w:p w14:paraId="6BAA14DA" w14:textId="77777777" w:rsidR="00D31F01" w:rsidRDefault="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xml:space="preserve"># 4. receivetime </w:t>
      </w:r>
      <w:r>
        <w:rPr>
          <w:rFonts w:ascii="Consolas" w:hAnsi="Consolas" w:cs="Courier New"/>
          <w:color w:val="880000"/>
          <w:sz w:val="17"/>
          <w:szCs w:val="17"/>
        </w:rPr>
        <w:t>特殊解析：自动识别秒级</w:t>
      </w:r>
      <w:r>
        <w:rPr>
          <w:rFonts w:ascii="Consolas" w:hAnsi="Consolas" w:cs="Courier New"/>
          <w:color w:val="880000"/>
          <w:sz w:val="17"/>
          <w:szCs w:val="17"/>
        </w:rPr>
        <w:t>/</w:t>
      </w:r>
      <w:r>
        <w:rPr>
          <w:rFonts w:ascii="Consolas" w:hAnsi="Consolas" w:cs="Courier New"/>
          <w:color w:val="880000"/>
          <w:sz w:val="17"/>
          <w:szCs w:val="17"/>
        </w:rPr>
        <w:t>毫秒</w:t>
      </w:r>
      <w:proofErr w:type="gramStart"/>
      <w:r>
        <w:rPr>
          <w:rFonts w:ascii="Consolas" w:hAnsi="Consolas" w:cs="Courier New"/>
          <w:color w:val="880000"/>
          <w:sz w:val="17"/>
          <w:szCs w:val="17"/>
        </w:rPr>
        <w:t>级时间戳</w:t>
      </w:r>
      <w:proofErr w:type="gramEnd"/>
    </w:p>
    <w:p w14:paraId="45F5DE27" w14:textId="045849ED" w:rsidR="00D31F01" w:rsidRDefault="00D31F01" w:rsidP="00D31F01">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284126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xml:space="preserve"># 5. </w:t>
      </w:r>
      <w:r>
        <w:rPr>
          <w:rFonts w:ascii="Consolas" w:hAnsi="Consolas" w:cs="Courier New"/>
          <w:color w:val="880000"/>
          <w:sz w:val="17"/>
          <w:szCs w:val="17"/>
        </w:rPr>
        <w:t>按</w:t>
      </w:r>
      <w:r>
        <w:rPr>
          <w:rFonts w:ascii="Consolas" w:hAnsi="Consolas" w:cs="Courier New"/>
          <w:color w:val="880000"/>
          <w:sz w:val="17"/>
          <w:szCs w:val="17"/>
        </w:rPr>
        <w:t xml:space="preserve"> MMSI </w:t>
      </w:r>
      <w:r>
        <w:rPr>
          <w:rFonts w:ascii="Consolas" w:hAnsi="Consolas" w:cs="Courier New"/>
          <w:color w:val="880000"/>
          <w:sz w:val="17"/>
          <w:szCs w:val="17"/>
        </w:rPr>
        <w:t>去重：按月份降序保留最新记录</w:t>
      </w:r>
    </w:p>
    <w:p w14:paraId="6C09C471" w14:textId="2663FF9B" w:rsidR="00D31F01" w:rsidRDefault="00D31F01" w:rsidP="00D31F01">
      <w:pPr>
        <w:pStyle w:val="3"/>
      </w:pPr>
      <w:r w:rsidRPr="00D31F01">
        <w:rPr>
          <w:rFonts w:hint="eastAsia"/>
        </w:rPr>
        <w:t xml:space="preserve">2.2 </w:t>
      </w:r>
      <w:r w:rsidRPr="00D31F01">
        <w:rPr>
          <w:rFonts w:hint="eastAsia"/>
        </w:rPr>
        <w:t>外部辅助数据</w:t>
      </w:r>
    </w:p>
    <w:p w14:paraId="6551AFA7" w14:textId="5AE33F8A" w:rsidR="00D31F01" w:rsidRDefault="00D31F01" w:rsidP="00D31F01">
      <w:pPr>
        <w:rPr>
          <w:shd w:val="clear" w:color="auto" w:fill="FFFFFF"/>
        </w:rPr>
      </w:pPr>
      <w:r>
        <w:rPr>
          <w:shd w:val="clear" w:color="auto" w:fill="FFFFFF"/>
        </w:rPr>
        <w:tab/>
      </w:r>
      <w:r>
        <w:rPr>
          <w:shd w:val="clear" w:color="auto" w:fill="FFFFFF"/>
        </w:rPr>
        <w:t>为增强</w:t>
      </w:r>
      <w:r>
        <w:rPr>
          <w:shd w:val="clear" w:color="auto" w:fill="FFFFFF"/>
        </w:rPr>
        <w:t>AIS</w:t>
      </w:r>
      <w:r>
        <w:rPr>
          <w:shd w:val="clear" w:color="auto" w:fill="FFFFFF"/>
        </w:rPr>
        <w:t>分析结果的解释能力，本文引入以下外部数据：</w:t>
      </w:r>
    </w:p>
    <w:p w14:paraId="284CEF3A" w14:textId="78C92B38" w:rsidR="00E700EA" w:rsidRPr="00E753FA" w:rsidRDefault="00E753FA" w:rsidP="00E700EA">
      <w:pPr>
        <w:pStyle w:val="a8"/>
        <w:keepNext/>
        <w:jc w:val="center"/>
        <w:rPr>
          <w:b/>
          <w:bCs/>
          <w:sz w:val="21"/>
          <w:szCs w:val="21"/>
        </w:rPr>
      </w:pPr>
      <w:r>
        <w:rPr>
          <w:rFonts w:hint="eastAsia"/>
          <w:b/>
          <w:bCs/>
          <w:sz w:val="21"/>
          <w:szCs w:val="21"/>
        </w:rPr>
        <w:t>表</w:t>
      </w:r>
      <w:r w:rsidRPr="00E753FA">
        <w:rPr>
          <w:rFonts w:ascii="Times New Roman" w:eastAsia="楷体_GB2312" w:hAnsi="Times New Roman" w:cs="Times New Roman"/>
          <w:b/>
          <w:bCs/>
          <w:sz w:val="21"/>
          <w:szCs w:val="21"/>
        </w:rPr>
        <w:t>2.2.1</w:t>
      </w:r>
      <w:r>
        <w:rPr>
          <w:rFonts w:hint="eastAsia"/>
          <w:b/>
          <w:bCs/>
          <w:sz w:val="21"/>
          <w:szCs w:val="21"/>
        </w:rPr>
        <w:t>：</w:t>
      </w:r>
      <w:r w:rsidR="00E700EA" w:rsidRPr="00E753FA">
        <w:rPr>
          <w:rFonts w:hint="eastAsia"/>
          <w:b/>
          <w:bCs/>
          <w:sz w:val="21"/>
          <w:szCs w:val="21"/>
        </w:rPr>
        <w:t>外部辅助数据清单</w:t>
      </w:r>
    </w:p>
    <w:tbl>
      <w:tblPr>
        <w:tblW w:w="5000" w:type="pct"/>
        <w:tblLook w:val="04A0" w:firstRow="1" w:lastRow="0" w:firstColumn="1" w:lastColumn="0" w:noHBand="0" w:noVBand="1"/>
      </w:tblPr>
      <w:tblGrid>
        <w:gridCol w:w="2082"/>
        <w:gridCol w:w="3837"/>
        <w:gridCol w:w="2387"/>
      </w:tblGrid>
      <w:tr w:rsidR="00E700EA" w:rsidRPr="00742CBA" w14:paraId="7F13F4D9" w14:textId="77777777" w:rsidTr="00E700EA">
        <w:trPr>
          <w:trHeight w:val="529"/>
        </w:trPr>
        <w:tc>
          <w:tcPr>
            <w:tcW w:w="1253" w:type="pct"/>
            <w:tcBorders>
              <w:top w:val="single" w:sz="12" w:space="0" w:color="auto"/>
              <w:left w:val="nil"/>
              <w:right w:val="nil"/>
            </w:tcBorders>
            <w:shd w:val="clear" w:color="auto" w:fill="auto"/>
            <w:vAlign w:val="center"/>
            <w:hideMark/>
          </w:tcPr>
          <w:p w14:paraId="421C4FE0" w14:textId="40FAFF8C" w:rsidR="00E700EA" w:rsidRPr="00E700EA" w:rsidRDefault="00E700EA" w:rsidP="007A1402">
            <w:pPr>
              <w:widowControl/>
              <w:spacing w:line="240" w:lineRule="auto"/>
              <w:jc w:val="center"/>
              <w:rPr>
                <w:b/>
                <w:bCs/>
                <w:color w:val="000000"/>
                <w:kern w:val="0"/>
                <w:sz w:val="21"/>
                <w:szCs w:val="20"/>
              </w:rPr>
            </w:pPr>
            <w:r w:rsidRPr="00E700EA">
              <w:rPr>
                <w:rFonts w:ascii="Helvetica" w:hAnsi="Helvetica" w:cs="Helvetica"/>
                <w:b/>
                <w:bCs/>
                <w:color w:val="000000"/>
                <w:sz w:val="21"/>
                <w:szCs w:val="20"/>
              </w:rPr>
              <w:t>数据来源</w:t>
            </w:r>
          </w:p>
        </w:tc>
        <w:tc>
          <w:tcPr>
            <w:tcW w:w="2310" w:type="pct"/>
            <w:tcBorders>
              <w:top w:val="single" w:sz="12" w:space="0" w:color="auto"/>
              <w:left w:val="nil"/>
              <w:right w:val="nil"/>
            </w:tcBorders>
            <w:shd w:val="clear" w:color="auto" w:fill="auto"/>
            <w:vAlign w:val="center"/>
          </w:tcPr>
          <w:p w14:paraId="53312DCC" w14:textId="0EEE8ED5" w:rsidR="00E700EA" w:rsidRPr="00E700EA" w:rsidRDefault="00E700EA" w:rsidP="007A1402">
            <w:pPr>
              <w:widowControl/>
              <w:spacing w:line="240" w:lineRule="auto"/>
              <w:jc w:val="center"/>
              <w:rPr>
                <w:b/>
                <w:bCs/>
                <w:color w:val="000000"/>
                <w:kern w:val="0"/>
                <w:sz w:val="21"/>
                <w:szCs w:val="20"/>
              </w:rPr>
            </w:pPr>
            <w:r w:rsidRPr="00E700EA">
              <w:rPr>
                <w:rFonts w:ascii="Helvetica" w:hAnsi="Helvetica" w:cs="Helvetica"/>
                <w:b/>
                <w:bCs/>
                <w:color w:val="000000"/>
                <w:sz w:val="21"/>
                <w:szCs w:val="20"/>
              </w:rPr>
              <w:t>数据内容</w:t>
            </w:r>
          </w:p>
        </w:tc>
        <w:tc>
          <w:tcPr>
            <w:tcW w:w="1438" w:type="pct"/>
            <w:tcBorders>
              <w:top w:val="single" w:sz="12" w:space="0" w:color="auto"/>
              <w:left w:val="nil"/>
              <w:right w:val="nil"/>
            </w:tcBorders>
            <w:vAlign w:val="center"/>
          </w:tcPr>
          <w:p w14:paraId="20B6DAC1" w14:textId="6730A23E" w:rsidR="00E700EA" w:rsidRPr="00E700EA" w:rsidRDefault="00E700EA" w:rsidP="007A1402">
            <w:pPr>
              <w:widowControl/>
              <w:spacing w:line="240" w:lineRule="auto"/>
              <w:jc w:val="center"/>
              <w:rPr>
                <w:b/>
                <w:bCs/>
                <w:color w:val="000000"/>
                <w:kern w:val="0"/>
                <w:sz w:val="21"/>
                <w:szCs w:val="20"/>
              </w:rPr>
            </w:pPr>
            <w:r w:rsidRPr="00E700EA">
              <w:rPr>
                <w:rFonts w:ascii="Helvetica" w:hAnsi="Helvetica" w:cs="Helvetica"/>
                <w:b/>
                <w:bCs/>
                <w:color w:val="000000"/>
                <w:sz w:val="21"/>
                <w:szCs w:val="20"/>
              </w:rPr>
              <w:t>分析用途</w:t>
            </w:r>
          </w:p>
        </w:tc>
      </w:tr>
      <w:tr w:rsidR="00E700EA" w:rsidRPr="00742CBA" w14:paraId="2A53332B" w14:textId="77777777" w:rsidTr="00E700EA">
        <w:trPr>
          <w:trHeight w:val="578"/>
        </w:trPr>
        <w:tc>
          <w:tcPr>
            <w:tcW w:w="1253" w:type="pct"/>
            <w:tcBorders>
              <w:top w:val="single" w:sz="8" w:space="0" w:color="auto"/>
              <w:left w:val="nil"/>
              <w:bottom w:val="nil"/>
              <w:right w:val="nil"/>
            </w:tcBorders>
            <w:shd w:val="clear" w:color="auto" w:fill="auto"/>
            <w:vAlign w:val="center"/>
            <w:hideMark/>
          </w:tcPr>
          <w:p w14:paraId="3BA5175A" w14:textId="07CDF5DF"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color w:val="333333"/>
                <w:sz w:val="21"/>
                <w:szCs w:val="20"/>
              </w:rPr>
              <w:t>EIA</w:t>
            </w:r>
          </w:p>
        </w:tc>
        <w:tc>
          <w:tcPr>
            <w:tcW w:w="2310" w:type="pct"/>
            <w:tcBorders>
              <w:top w:val="single" w:sz="8" w:space="0" w:color="auto"/>
              <w:left w:val="nil"/>
              <w:bottom w:val="nil"/>
              <w:right w:val="nil"/>
            </w:tcBorders>
            <w:shd w:val="clear" w:color="auto" w:fill="auto"/>
            <w:vAlign w:val="center"/>
            <w:hideMark/>
          </w:tcPr>
          <w:p w14:paraId="25121874" w14:textId="77777777" w:rsidR="00E700EA" w:rsidRPr="00E700EA" w:rsidRDefault="00E700EA" w:rsidP="007A1402">
            <w:pPr>
              <w:widowControl/>
              <w:spacing w:line="240" w:lineRule="auto"/>
              <w:jc w:val="center"/>
              <w:rPr>
                <w:rFonts w:ascii="Helvetica" w:hAnsi="Helvetica" w:cs="Helvetica"/>
                <w:color w:val="333333"/>
                <w:sz w:val="21"/>
                <w:szCs w:val="20"/>
              </w:rPr>
            </w:pPr>
            <w:r w:rsidRPr="00E700EA">
              <w:rPr>
                <w:rFonts w:ascii="Helvetica" w:hAnsi="Helvetica" w:cs="Helvetica"/>
                <w:color w:val="333333"/>
                <w:sz w:val="21"/>
                <w:szCs w:val="20"/>
              </w:rPr>
              <w:t>Brent/WTI</w:t>
            </w:r>
            <w:r w:rsidRPr="00E700EA">
              <w:rPr>
                <w:rFonts w:ascii="Helvetica" w:hAnsi="Helvetica" w:cs="Helvetica"/>
                <w:color w:val="333333"/>
                <w:sz w:val="21"/>
                <w:szCs w:val="20"/>
              </w:rPr>
              <w:t>日价格</w:t>
            </w:r>
          </w:p>
          <w:p w14:paraId="477DAE89" w14:textId="2DC9781F"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color w:val="333333"/>
                <w:sz w:val="21"/>
                <w:szCs w:val="20"/>
              </w:rPr>
              <w:t>Henry Hub</w:t>
            </w:r>
            <w:r w:rsidRPr="00E700EA">
              <w:rPr>
                <w:rFonts w:ascii="Helvetica" w:hAnsi="Helvetica" w:cs="Helvetica"/>
                <w:color w:val="333333"/>
                <w:sz w:val="21"/>
                <w:szCs w:val="20"/>
              </w:rPr>
              <w:t>天然气日价格</w:t>
            </w:r>
          </w:p>
        </w:tc>
        <w:tc>
          <w:tcPr>
            <w:tcW w:w="1438" w:type="pct"/>
            <w:tcBorders>
              <w:top w:val="single" w:sz="8" w:space="0" w:color="auto"/>
              <w:left w:val="nil"/>
              <w:bottom w:val="nil"/>
              <w:right w:val="nil"/>
            </w:tcBorders>
            <w:vAlign w:val="center"/>
          </w:tcPr>
          <w:p w14:paraId="3B9DAB9D" w14:textId="3F794861"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能源市场响应分析</w:t>
            </w:r>
          </w:p>
        </w:tc>
      </w:tr>
      <w:tr w:rsidR="00E700EA" w:rsidRPr="00742CBA" w14:paraId="7302FB9D" w14:textId="77777777" w:rsidTr="00E700EA">
        <w:trPr>
          <w:trHeight w:val="578"/>
        </w:trPr>
        <w:tc>
          <w:tcPr>
            <w:tcW w:w="1253" w:type="pct"/>
            <w:tcBorders>
              <w:top w:val="nil"/>
              <w:left w:val="nil"/>
              <w:bottom w:val="nil"/>
              <w:right w:val="nil"/>
            </w:tcBorders>
            <w:shd w:val="clear" w:color="auto" w:fill="auto"/>
            <w:vAlign w:val="center"/>
          </w:tcPr>
          <w:p w14:paraId="54DEB7C9" w14:textId="1C195B52" w:rsidR="00E700EA" w:rsidRPr="00E700EA" w:rsidRDefault="00E700EA" w:rsidP="007A1402">
            <w:pPr>
              <w:widowControl/>
              <w:spacing w:line="240" w:lineRule="auto"/>
              <w:jc w:val="center"/>
              <w:rPr>
                <w:iCs/>
                <w:sz w:val="21"/>
                <w:szCs w:val="20"/>
              </w:rPr>
            </w:pPr>
            <w:r w:rsidRPr="00E700EA">
              <w:rPr>
                <w:rFonts w:ascii="Helvetica" w:hAnsi="Helvetica" w:cs="Helvetica"/>
                <w:color w:val="333333"/>
                <w:sz w:val="21"/>
                <w:szCs w:val="20"/>
              </w:rPr>
              <w:t>PortWatch</w:t>
            </w:r>
          </w:p>
        </w:tc>
        <w:tc>
          <w:tcPr>
            <w:tcW w:w="2310" w:type="pct"/>
            <w:tcBorders>
              <w:top w:val="nil"/>
              <w:left w:val="nil"/>
              <w:bottom w:val="nil"/>
              <w:right w:val="nil"/>
            </w:tcBorders>
            <w:shd w:val="clear" w:color="auto" w:fill="auto"/>
            <w:vAlign w:val="center"/>
          </w:tcPr>
          <w:p w14:paraId="70CDC947" w14:textId="77777777" w:rsidR="00E700EA" w:rsidRPr="00E700EA" w:rsidRDefault="00E700EA" w:rsidP="007A1402">
            <w:pPr>
              <w:widowControl/>
              <w:spacing w:line="240" w:lineRule="auto"/>
              <w:jc w:val="center"/>
              <w:rPr>
                <w:rFonts w:ascii="Helvetica" w:hAnsi="Helvetica" w:cs="Helvetica"/>
                <w:color w:val="333333"/>
                <w:sz w:val="21"/>
                <w:szCs w:val="20"/>
              </w:rPr>
            </w:pPr>
            <w:r w:rsidRPr="00E700EA">
              <w:rPr>
                <w:rFonts w:ascii="Helvetica" w:hAnsi="Helvetica" w:cs="Helvetica" w:hint="eastAsia"/>
                <w:color w:val="333333"/>
                <w:sz w:val="21"/>
                <w:szCs w:val="20"/>
              </w:rPr>
              <w:t>重要国家、区域、通道、港口</w:t>
            </w:r>
          </w:p>
          <w:p w14:paraId="7F3D7893" w14:textId="12ECBC0D"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Transit Calls</w:t>
            </w:r>
            <w:r w:rsidRPr="00E700EA">
              <w:rPr>
                <w:rFonts w:ascii="Helvetica" w:hAnsi="Helvetica" w:cs="Helvetica"/>
                <w:color w:val="333333"/>
                <w:sz w:val="21"/>
                <w:szCs w:val="20"/>
              </w:rPr>
              <w:t>日数据</w:t>
            </w:r>
            <w:r w:rsidR="004F4FAF">
              <w:rPr>
                <w:rFonts w:ascii="Helvetica" w:hAnsi="Helvetica" w:cs="Helvetica" w:hint="eastAsia"/>
                <w:color w:val="333333"/>
                <w:sz w:val="21"/>
                <w:szCs w:val="20"/>
              </w:rPr>
              <w:t>；航线数据</w:t>
            </w:r>
          </w:p>
        </w:tc>
        <w:tc>
          <w:tcPr>
            <w:tcW w:w="1438" w:type="pct"/>
            <w:tcBorders>
              <w:top w:val="nil"/>
              <w:left w:val="nil"/>
              <w:bottom w:val="nil"/>
              <w:right w:val="nil"/>
            </w:tcBorders>
            <w:vAlign w:val="center"/>
          </w:tcPr>
          <w:p w14:paraId="7447A871" w14:textId="404266C1"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AIS</w:t>
            </w:r>
            <w:r w:rsidRPr="00E700EA">
              <w:rPr>
                <w:rFonts w:ascii="Helvetica" w:hAnsi="Helvetica" w:cs="Helvetica"/>
                <w:color w:val="333333"/>
                <w:sz w:val="21"/>
                <w:szCs w:val="20"/>
              </w:rPr>
              <w:t>结果独立验证</w:t>
            </w:r>
          </w:p>
        </w:tc>
      </w:tr>
      <w:tr w:rsidR="00E700EA" w:rsidRPr="00742CBA" w14:paraId="0532F9AF" w14:textId="77777777" w:rsidTr="00E700EA">
        <w:trPr>
          <w:trHeight w:val="578"/>
        </w:trPr>
        <w:tc>
          <w:tcPr>
            <w:tcW w:w="1253" w:type="pct"/>
            <w:tcBorders>
              <w:top w:val="nil"/>
              <w:left w:val="nil"/>
              <w:bottom w:val="nil"/>
              <w:right w:val="nil"/>
            </w:tcBorders>
            <w:shd w:val="clear" w:color="auto" w:fill="auto"/>
            <w:vAlign w:val="center"/>
          </w:tcPr>
          <w:p w14:paraId="547BB364" w14:textId="3F6550D0"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color w:val="333333"/>
                <w:sz w:val="21"/>
                <w:szCs w:val="20"/>
              </w:rPr>
              <w:t>SISI</w:t>
            </w:r>
          </w:p>
        </w:tc>
        <w:tc>
          <w:tcPr>
            <w:tcW w:w="2310" w:type="pct"/>
            <w:tcBorders>
              <w:top w:val="nil"/>
              <w:left w:val="nil"/>
              <w:bottom w:val="nil"/>
              <w:right w:val="nil"/>
            </w:tcBorders>
            <w:shd w:val="clear" w:color="auto" w:fill="auto"/>
            <w:vAlign w:val="center"/>
          </w:tcPr>
          <w:p w14:paraId="289DD8D3" w14:textId="46B5D39B"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color w:val="333333"/>
                <w:sz w:val="21"/>
                <w:szCs w:val="20"/>
              </w:rPr>
              <w:t>BDTI/BCTI</w:t>
            </w:r>
            <w:r w:rsidRPr="00E700EA">
              <w:rPr>
                <w:rFonts w:ascii="Helvetica" w:hAnsi="Helvetica" w:cs="Helvetica"/>
                <w:color w:val="333333"/>
                <w:sz w:val="21"/>
                <w:szCs w:val="20"/>
              </w:rPr>
              <w:t>运价指数、分航线数据</w:t>
            </w:r>
          </w:p>
        </w:tc>
        <w:tc>
          <w:tcPr>
            <w:tcW w:w="1438" w:type="pct"/>
            <w:tcBorders>
              <w:top w:val="nil"/>
              <w:left w:val="nil"/>
              <w:bottom w:val="nil"/>
              <w:right w:val="nil"/>
            </w:tcBorders>
            <w:vAlign w:val="center"/>
          </w:tcPr>
          <w:p w14:paraId="4A93D3CB" w14:textId="00703553"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运输成本传导分析</w:t>
            </w:r>
          </w:p>
        </w:tc>
      </w:tr>
      <w:tr w:rsidR="00E700EA" w:rsidRPr="00742CBA" w14:paraId="460AC71A" w14:textId="77777777" w:rsidTr="00E700EA">
        <w:trPr>
          <w:trHeight w:val="578"/>
        </w:trPr>
        <w:tc>
          <w:tcPr>
            <w:tcW w:w="1253" w:type="pct"/>
            <w:tcBorders>
              <w:top w:val="nil"/>
              <w:left w:val="nil"/>
              <w:bottom w:val="nil"/>
              <w:right w:val="nil"/>
            </w:tcBorders>
            <w:shd w:val="clear" w:color="auto" w:fill="auto"/>
            <w:vAlign w:val="center"/>
          </w:tcPr>
          <w:p w14:paraId="7BAE4E53" w14:textId="6AB8AEE1"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color w:val="333333"/>
                <w:sz w:val="21"/>
                <w:szCs w:val="20"/>
              </w:rPr>
              <w:lastRenderedPageBreak/>
              <w:t>STOCKQ</w:t>
            </w:r>
          </w:p>
        </w:tc>
        <w:tc>
          <w:tcPr>
            <w:tcW w:w="2310" w:type="pct"/>
            <w:tcBorders>
              <w:top w:val="nil"/>
              <w:left w:val="nil"/>
              <w:bottom w:val="nil"/>
              <w:right w:val="nil"/>
            </w:tcBorders>
            <w:shd w:val="clear" w:color="auto" w:fill="auto"/>
            <w:vAlign w:val="center"/>
          </w:tcPr>
          <w:p w14:paraId="68FFB498" w14:textId="5F850B53"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BDTI</w:t>
            </w:r>
            <w:r w:rsidRPr="00E700EA">
              <w:rPr>
                <w:rFonts w:ascii="Helvetica" w:hAnsi="Helvetica" w:cs="Helvetica"/>
                <w:color w:val="333333"/>
                <w:sz w:val="21"/>
                <w:szCs w:val="20"/>
              </w:rPr>
              <w:t>走势图（</w:t>
            </w:r>
            <w:r w:rsidRPr="00E700EA">
              <w:rPr>
                <w:rFonts w:ascii="Helvetica" w:hAnsi="Helvetica" w:cs="Helvetica"/>
                <w:color w:val="333333"/>
                <w:sz w:val="21"/>
                <w:szCs w:val="20"/>
              </w:rPr>
              <w:t>2024.9-2026.7</w:t>
            </w:r>
            <w:r w:rsidRPr="00E700EA">
              <w:rPr>
                <w:rFonts w:ascii="Helvetica" w:hAnsi="Helvetica" w:cs="Helvetica"/>
                <w:color w:val="333333"/>
                <w:sz w:val="21"/>
                <w:szCs w:val="20"/>
              </w:rPr>
              <w:t>）</w:t>
            </w:r>
          </w:p>
        </w:tc>
        <w:tc>
          <w:tcPr>
            <w:tcW w:w="1438" w:type="pct"/>
            <w:tcBorders>
              <w:top w:val="nil"/>
              <w:left w:val="nil"/>
              <w:bottom w:val="nil"/>
              <w:right w:val="nil"/>
            </w:tcBorders>
            <w:vAlign w:val="center"/>
          </w:tcPr>
          <w:p w14:paraId="34C02188" w14:textId="250EA471"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运价趋势可视化验证</w:t>
            </w:r>
          </w:p>
        </w:tc>
      </w:tr>
      <w:tr w:rsidR="00E700EA" w:rsidRPr="00742CBA" w14:paraId="4904E77E" w14:textId="77777777" w:rsidTr="00E700EA">
        <w:trPr>
          <w:trHeight w:val="578"/>
        </w:trPr>
        <w:tc>
          <w:tcPr>
            <w:tcW w:w="1253" w:type="pct"/>
            <w:tcBorders>
              <w:top w:val="nil"/>
              <w:left w:val="nil"/>
              <w:bottom w:val="nil"/>
              <w:right w:val="nil"/>
            </w:tcBorders>
            <w:shd w:val="clear" w:color="auto" w:fill="auto"/>
            <w:vAlign w:val="center"/>
          </w:tcPr>
          <w:p w14:paraId="268519F2" w14:textId="1663E7C4"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color w:val="333333"/>
                <w:sz w:val="21"/>
                <w:szCs w:val="20"/>
              </w:rPr>
              <w:t>UNCTAD</w:t>
            </w:r>
          </w:p>
        </w:tc>
        <w:tc>
          <w:tcPr>
            <w:tcW w:w="2310" w:type="pct"/>
            <w:tcBorders>
              <w:top w:val="nil"/>
              <w:left w:val="nil"/>
              <w:bottom w:val="nil"/>
              <w:right w:val="nil"/>
            </w:tcBorders>
            <w:shd w:val="clear" w:color="auto" w:fill="auto"/>
            <w:vAlign w:val="center"/>
          </w:tcPr>
          <w:p w14:paraId="5B412929" w14:textId="693BD52E"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霍尔木兹中断系列报告</w:t>
            </w:r>
          </w:p>
        </w:tc>
        <w:tc>
          <w:tcPr>
            <w:tcW w:w="1438" w:type="pct"/>
            <w:tcBorders>
              <w:top w:val="nil"/>
              <w:left w:val="nil"/>
              <w:bottom w:val="nil"/>
              <w:right w:val="nil"/>
            </w:tcBorders>
            <w:vAlign w:val="center"/>
          </w:tcPr>
          <w:p w14:paraId="6DD4F856" w14:textId="1971F6BB"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事件背景与政策分析</w:t>
            </w:r>
          </w:p>
        </w:tc>
      </w:tr>
      <w:tr w:rsidR="00E700EA" w:rsidRPr="00742CBA" w14:paraId="2F6AA91F" w14:textId="77777777" w:rsidTr="00E700EA">
        <w:trPr>
          <w:trHeight w:val="578"/>
        </w:trPr>
        <w:tc>
          <w:tcPr>
            <w:tcW w:w="1253" w:type="pct"/>
            <w:tcBorders>
              <w:top w:val="nil"/>
              <w:left w:val="nil"/>
              <w:bottom w:val="nil"/>
              <w:right w:val="nil"/>
            </w:tcBorders>
            <w:shd w:val="clear" w:color="auto" w:fill="auto"/>
            <w:vAlign w:val="center"/>
          </w:tcPr>
          <w:p w14:paraId="7495B2FD" w14:textId="481C9906" w:rsidR="00E700EA" w:rsidRPr="00E700EA" w:rsidRDefault="00E700EA" w:rsidP="007A1402">
            <w:pPr>
              <w:widowControl/>
              <w:spacing w:line="240" w:lineRule="auto"/>
              <w:jc w:val="center"/>
              <w:rPr>
                <w:rFonts w:ascii="Helvetica" w:hAnsi="Helvetica" w:cs="Helvetica"/>
                <w:color w:val="333333"/>
                <w:sz w:val="21"/>
                <w:szCs w:val="20"/>
              </w:rPr>
            </w:pPr>
            <w:r w:rsidRPr="00E700EA">
              <w:rPr>
                <w:rFonts w:ascii="Helvetica" w:hAnsi="Helvetica" w:cs="Helvetica" w:hint="eastAsia"/>
                <w:color w:val="333333"/>
                <w:sz w:val="21"/>
                <w:szCs w:val="20"/>
              </w:rPr>
              <w:t xml:space="preserve">IMF / World Bank </w:t>
            </w:r>
          </w:p>
        </w:tc>
        <w:tc>
          <w:tcPr>
            <w:tcW w:w="2310" w:type="pct"/>
            <w:tcBorders>
              <w:top w:val="nil"/>
              <w:left w:val="nil"/>
              <w:bottom w:val="nil"/>
              <w:right w:val="nil"/>
            </w:tcBorders>
            <w:shd w:val="clear" w:color="auto" w:fill="auto"/>
            <w:vAlign w:val="center"/>
          </w:tcPr>
          <w:p w14:paraId="2E00923E" w14:textId="76AEBFBB" w:rsidR="00E700EA" w:rsidRPr="00E700EA" w:rsidRDefault="00E700EA" w:rsidP="007A1402">
            <w:pPr>
              <w:widowControl/>
              <w:spacing w:line="240" w:lineRule="auto"/>
              <w:jc w:val="center"/>
              <w:rPr>
                <w:rFonts w:ascii="Helvetica" w:hAnsi="Helvetica" w:cs="Helvetica"/>
                <w:color w:val="333333"/>
                <w:sz w:val="21"/>
                <w:szCs w:val="20"/>
              </w:rPr>
            </w:pPr>
            <w:r w:rsidRPr="00E700EA">
              <w:rPr>
                <w:rFonts w:ascii="Helvetica" w:hAnsi="Helvetica" w:cs="Helvetica"/>
                <w:color w:val="333333"/>
                <w:sz w:val="21"/>
                <w:szCs w:val="20"/>
                <w:shd w:val="clear" w:color="auto" w:fill="FFFFFF"/>
              </w:rPr>
              <w:t>世界主要商品价格数据库</w:t>
            </w:r>
          </w:p>
        </w:tc>
        <w:tc>
          <w:tcPr>
            <w:tcW w:w="1438" w:type="pct"/>
            <w:tcBorders>
              <w:top w:val="nil"/>
              <w:left w:val="nil"/>
              <w:bottom w:val="nil"/>
              <w:right w:val="nil"/>
            </w:tcBorders>
            <w:vAlign w:val="center"/>
          </w:tcPr>
          <w:p w14:paraId="66F71197" w14:textId="7D980C19" w:rsidR="00E700EA" w:rsidRPr="00E700EA" w:rsidRDefault="00E700EA" w:rsidP="007A1402">
            <w:pPr>
              <w:widowControl/>
              <w:spacing w:line="240" w:lineRule="auto"/>
              <w:jc w:val="center"/>
              <w:rPr>
                <w:rFonts w:ascii="Helvetica" w:hAnsi="Helvetica" w:cs="Helvetica"/>
                <w:color w:val="333333"/>
                <w:sz w:val="21"/>
                <w:szCs w:val="20"/>
              </w:rPr>
            </w:pPr>
            <w:r w:rsidRPr="00E700EA">
              <w:rPr>
                <w:rFonts w:ascii="Helvetica" w:hAnsi="Helvetica" w:cs="Helvetica" w:hint="eastAsia"/>
                <w:color w:val="333333"/>
                <w:sz w:val="21"/>
                <w:szCs w:val="20"/>
              </w:rPr>
              <w:t>宏观经济背景分析</w:t>
            </w:r>
          </w:p>
        </w:tc>
      </w:tr>
      <w:tr w:rsidR="00E700EA" w:rsidRPr="00742CBA" w14:paraId="72F0A453" w14:textId="77777777" w:rsidTr="00E700EA">
        <w:trPr>
          <w:trHeight w:val="362"/>
        </w:trPr>
        <w:tc>
          <w:tcPr>
            <w:tcW w:w="1253" w:type="pct"/>
            <w:tcBorders>
              <w:top w:val="nil"/>
              <w:left w:val="nil"/>
              <w:bottom w:val="single" w:sz="12" w:space="0" w:color="auto"/>
              <w:right w:val="nil"/>
            </w:tcBorders>
            <w:shd w:val="clear" w:color="auto" w:fill="auto"/>
            <w:vAlign w:val="center"/>
            <w:hideMark/>
          </w:tcPr>
          <w:p w14:paraId="5C3195E7" w14:textId="3416D476"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color w:val="333333"/>
                <w:sz w:val="21"/>
                <w:szCs w:val="20"/>
              </w:rPr>
              <w:t>WORLDEEZ</w:t>
            </w:r>
          </w:p>
        </w:tc>
        <w:tc>
          <w:tcPr>
            <w:tcW w:w="2310" w:type="pct"/>
            <w:tcBorders>
              <w:top w:val="nil"/>
              <w:left w:val="nil"/>
              <w:bottom w:val="single" w:sz="12" w:space="0" w:color="auto"/>
              <w:right w:val="nil"/>
            </w:tcBorders>
            <w:shd w:val="clear" w:color="auto" w:fill="auto"/>
            <w:vAlign w:val="center"/>
          </w:tcPr>
          <w:p w14:paraId="7550A38B" w14:textId="2F5FA2C2" w:rsidR="00E700EA" w:rsidRPr="00E700EA" w:rsidRDefault="00E700EA" w:rsidP="007A1402">
            <w:pPr>
              <w:widowControl/>
              <w:spacing w:line="240" w:lineRule="auto"/>
              <w:jc w:val="center"/>
              <w:rPr>
                <w:color w:val="000000"/>
                <w:kern w:val="0"/>
                <w:sz w:val="21"/>
                <w:szCs w:val="20"/>
              </w:rPr>
            </w:pPr>
            <w:r w:rsidRPr="00E700EA">
              <w:rPr>
                <w:rFonts w:ascii="Helvetica" w:hAnsi="Helvetica" w:cs="Helvetica" w:hint="eastAsia"/>
                <w:color w:val="333333"/>
                <w:sz w:val="21"/>
                <w:szCs w:val="20"/>
              </w:rPr>
              <w:t>重要海域</w:t>
            </w:r>
            <w:r w:rsidRPr="00E700EA">
              <w:rPr>
                <w:rFonts w:ascii="Helvetica" w:hAnsi="Helvetica" w:cs="Helvetica"/>
                <w:color w:val="333333"/>
                <w:sz w:val="21"/>
                <w:szCs w:val="20"/>
              </w:rPr>
              <w:t>GeoJSON</w:t>
            </w:r>
            <w:r w:rsidRPr="00E700EA">
              <w:rPr>
                <w:rFonts w:ascii="Helvetica" w:hAnsi="Helvetica" w:cs="Helvetica"/>
                <w:color w:val="333333"/>
                <w:sz w:val="21"/>
                <w:szCs w:val="20"/>
              </w:rPr>
              <w:t>边界</w:t>
            </w:r>
          </w:p>
        </w:tc>
        <w:tc>
          <w:tcPr>
            <w:tcW w:w="1438" w:type="pct"/>
            <w:tcBorders>
              <w:top w:val="nil"/>
              <w:left w:val="nil"/>
              <w:bottom w:val="single" w:sz="12" w:space="0" w:color="auto"/>
              <w:right w:val="nil"/>
            </w:tcBorders>
            <w:vAlign w:val="center"/>
          </w:tcPr>
          <w:p w14:paraId="319F0987" w14:textId="344DDDAE" w:rsidR="00E700EA" w:rsidRPr="00E700EA" w:rsidRDefault="00E700EA" w:rsidP="007A1402">
            <w:pPr>
              <w:widowControl/>
              <w:spacing w:line="240" w:lineRule="auto"/>
              <w:jc w:val="center"/>
              <w:rPr>
                <w:sz w:val="21"/>
                <w:szCs w:val="20"/>
              </w:rPr>
            </w:pPr>
            <w:r w:rsidRPr="00E700EA">
              <w:rPr>
                <w:rFonts w:ascii="Helvetica" w:hAnsi="Helvetica" w:cs="Helvetica"/>
                <w:color w:val="333333"/>
                <w:sz w:val="21"/>
                <w:szCs w:val="20"/>
              </w:rPr>
              <w:t>空间分析区域定义</w:t>
            </w:r>
          </w:p>
        </w:tc>
      </w:tr>
    </w:tbl>
    <w:p w14:paraId="63993974" w14:textId="1E8804D1" w:rsidR="00E753FA" w:rsidRDefault="00E753FA" w:rsidP="003B5F09">
      <w:pPr>
        <w:pStyle w:val="3"/>
        <w:rPr>
          <w:rFonts w:hint="eastAsia"/>
        </w:rPr>
      </w:pPr>
      <w:r w:rsidRPr="00E753FA">
        <w:rPr>
          <w:rFonts w:hint="eastAsia"/>
        </w:rPr>
        <w:t xml:space="preserve">2.3 </w:t>
      </w:r>
      <w:r w:rsidRPr="00E753FA">
        <w:rPr>
          <w:rFonts w:hint="eastAsia"/>
        </w:rPr>
        <w:t>空间分析方法</w:t>
      </w:r>
    </w:p>
    <w:p w14:paraId="101D9193" w14:textId="45833378" w:rsidR="00E753FA" w:rsidRDefault="003B5F09" w:rsidP="003B5F09">
      <w:r>
        <w:tab/>
      </w:r>
      <w:r w:rsidR="00E753FA">
        <w:rPr>
          <w:rFonts w:hint="eastAsia"/>
        </w:rPr>
        <w:t>研究区域以霍尔木兹海峡为核心，覆盖波斯湾内部、阿曼湾及阿拉伯海北部。空间分析采用</w:t>
      </w:r>
      <m:oMath>
        <m:r>
          <w:rPr>
            <w:rFonts w:ascii="Cambria Math" w:hAnsi="Cambria Math" w:hint="eastAsia"/>
          </w:rPr>
          <m:t>1</m:t>
        </m:r>
        <m:r>
          <w:rPr>
            <w:rFonts w:ascii="Cambria Math" w:hAnsi="Cambria Math"/>
          </w:rPr>
          <m:t> </m:t>
        </m:r>
        <m:r>
          <m:rPr>
            <m:nor/>
          </m:rPr>
          <w:rPr>
            <w:rFonts w:ascii="Cambria Math" w:hAnsi="Cambria Math" w:hint="eastAsia"/>
          </w:rPr>
          <m:t>km</m:t>
        </m:r>
        <m:r>
          <m:rPr>
            <m:sty m:val="p"/>
          </m:rPr>
          <w:rPr>
            <w:rFonts w:ascii="Cambria Math" w:hAnsi="Cambria Math" w:hint="eastAsia"/>
          </w:rPr>
          <m:t>×</m:t>
        </m:r>
        <m:r>
          <w:rPr>
            <w:rFonts w:ascii="Cambria Math" w:hAnsi="Cambria Math" w:hint="eastAsia"/>
          </w:rPr>
          <m:t>1</m:t>
        </m:r>
        <m:r>
          <w:rPr>
            <w:rFonts w:ascii="Cambria Math" w:hAnsi="Cambria Math"/>
          </w:rPr>
          <m:t> </m:t>
        </m:r>
        <m:r>
          <m:rPr>
            <m:nor/>
          </m:rPr>
          <w:rPr>
            <w:rFonts w:ascii="Cambria Math" w:hAnsi="Cambria Math" w:hint="eastAsia"/>
          </w:rPr>
          <m:t>km</m:t>
        </m:r>
      </m:oMath>
      <w:r w:rsidR="00E753FA">
        <w:rPr>
          <w:rFonts w:hint="eastAsia"/>
        </w:rPr>
        <w:t>规则网格</w:t>
      </w:r>
      <w:r w:rsidRPr="003B5F09">
        <w:rPr>
          <w:rFonts w:hint="eastAsia"/>
        </w:rPr>
        <w:t>，主要计算指标包括：</w:t>
      </w:r>
    </w:p>
    <w:p w14:paraId="6D81678C" w14:textId="72565740" w:rsidR="00E753FA" w:rsidRDefault="00E753FA" w:rsidP="00E753FA">
      <w:pPr>
        <w:pStyle w:val="a7"/>
        <w:numPr>
          <w:ilvl w:val="0"/>
          <w:numId w:val="3"/>
        </w:numPr>
        <w:ind w:firstLineChars="0"/>
        <w:rPr>
          <w:rFonts w:hint="eastAsia"/>
        </w:rPr>
      </w:pPr>
      <w:r w:rsidRPr="003B5F09">
        <w:rPr>
          <w:rFonts w:hint="eastAsia"/>
          <w:b/>
          <w:bCs/>
        </w:rPr>
        <w:t>船舶密度</w:t>
      </w:r>
      <w:r w:rsidR="003B5F09" w:rsidRPr="003B5F09">
        <w:rPr>
          <w:rFonts w:hint="eastAsia"/>
          <w:b/>
          <w:bCs/>
        </w:rPr>
        <w:t>：</w:t>
      </w:r>
      <w:r>
        <w:rPr>
          <w:rFonts w:hint="eastAsia"/>
        </w:rPr>
        <w:t>代码实现中对网格内船舶进行唯一</w:t>
      </w:r>
      <w:r>
        <w:rPr>
          <w:rFonts w:hint="eastAsia"/>
        </w:rPr>
        <w:t>MMSI</w:t>
      </w:r>
      <w:r>
        <w:rPr>
          <w:rFonts w:hint="eastAsia"/>
        </w:rPr>
        <w:t>去重计数，得到网格的船舶密度指数：</w:t>
      </w:r>
    </w:p>
    <w:p w14:paraId="0B6DB40B" w14:textId="0A7C4029" w:rsidR="00E753FA" w:rsidRDefault="003B5F09" w:rsidP="003B5F09">
      <w:pPr>
        <w:rPr>
          <w:rFonts w:hint="eastAsia"/>
        </w:rPr>
      </w:pPr>
      <m:oMathPara>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i</m:t>
              </m:r>
            </m:sub>
          </m:sSub>
          <m: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i/>
                        </w:rPr>
                      </m:ctrlPr>
                    </m:sSubPr>
                    <m:e>
                      <m:r>
                        <m:rPr>
                          <m:nor/>
                        </m:rPr>
                        <w:rPr>
                          <w:rFonts w:ascii="Cambria Math" w:hAnsi="Cambria Math"/>
                        </w:rPr>
                        <m:t>MMSI</m:t>
                      </m:r>
                    </m:e>
                    <m:sub>
                      <m:r>
                        <w:rPr>
                          <w:rFonts w:ascii="Cambria Math" w:hAnsi="Cambria Math"/>
                        </w:rPr>
                        <m:t>j</m:t>
                      </m:r>
                    </m:sub>
                  </m:sSub>
                  <m:r>
                    <w:rPr>
                      <w:rFonts w:ascii="Cambria Math" w:hAnsi="Cambria Math"/>
                    </w:rPr>
                    <m:t> </m:t>
                  </m:r>
                  <m:ctrlPr>
                    <w:rPr>
                      <w:rFonts w:ascii="Cambria Math" w:eastAsia="MS Gothic" w:hAnsi="Cambria Math" w:cs="MS Gothic"/>
                    </w:rPr>
                  </m:ctrlPr>
                </m:e>
                <m:e>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j</m:t>
                          </m:r>
                        </m:sub>
                      </m:sSub>
                    </m:e>
                  </m:d>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Cell</m:t>
                      </m:r>
                      <m:ctrlPr>
                        <w:rPr>
                          <w:rFonts w:ascii="Cambria Math" w:hAnsi="Cambria Math"/>
                        </w:rPr>
                      </m:ctrlPr>
                    </m:e>
                    <m:sub>
                      <m:r>
                        <w:rPr>
                          <w:rFonts w:ascii="Cambria Math" w:hAnsi="Cambria Math"/>
                        </w:rPr>
                        <m:t>i</m:t>
                      </m:r>
                    </m:sub>
                  </m:sSub>
                  <m:ctrlPr>
                    <w:rPr>
                      <w:rFonts w:ascii="Cambria Math" w:hAnsi="Cambria Math"/>
                      <w:i/>
                    </w:rPr>
                  </m:ctrlPr>
                </m:e>
              </m:d>
              <m:ctrlPr>
                <w:rPr>
                  <w:rFonts w:ascii="Cambria Math" w:hAnsi="Cambria Math"/>
                  <w:i/>
                </w:rPr>
              </m:ctrlPr>
            </m:e>
          </m:d>
        </m:oMath>
      </m:oMathPara>
    </w:p>
    <w:p w14:paraId="73DC0C0F" w14:textId="5BB60E7A" w:rsidR="00E753FA" w:rsidRDefault="003B5F09" w:rsidP="00E753FA">
      <w:pPr>
        <w:rPr>
          <w:rFonts w:hint="eastAsia"/>
        </w:rPr>
      </w:pPr>
      <m:oMathPara>
        <m:oMath>
          <m:sSub>
            <m:sSubPr>
              <m:ctrlPr>
                <w:rPr>
                  <w:rFonts w:ascii="Cambria Math" w:hAnsi="Cambria Math"/>
                  <w:i/>
                </w:rPr>
              </m:ctrlPr>
            </m:sSubPr>
            <m:e>
              <m:r>
                <m:rPr>
                  <m:nor/>
                </m:rPr>
                <w:rPr>
                  <w:rFonts w:ascii="Cambria Math" w:hAnsi="Cambria Math"/>
                </w:rPr>
                <m:t>Density</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ρ</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A</m:t>
                  </m:r>
                </m:e>
                <m:sub>
                  <m:r>
                    <w:rPr>
                      <w:rFonts w:ascii="Cambria Math" w:hAnsi="Cambria Math"/>
                    </w:rPr>
                    <m:t>i</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ρ</m:t>
                  </m:r>
                </m:e>
                <m:sub>
                  <m:r>
                    <w:rPr>
                      <w:rFonts w:ascii="Cambria Math" w:hAnsi="Cambria Math"/>
                    </w:rPr>
                    <m:t>i</m:t>
                  </m:r>
                </m:sub>
              </m:sSub>
              <m:ctrlPr>
                <w:rPr>
                  <w:rFonts w:ascii="Cambria Math" w:hAnsi="Cambria Math"/>
                  <w:i/>
                </w:rPr>
              </m:ctrlPr>
            </m:num>
            <m:den>
              <m:r>
                <w:rPr>
                  <w:rFonts w:ascii="Cambria Math" w:hAnsi="Cambria Math"/>
                </w:rPr>
                <m:t>1</m:t>
              </m:r>
              <m:r>
                <w:rPr>
                  <w:rFonts w:ascii="Cambria Math" w:hAnsi="Cambria Math"/>
                </w:rPr>
                <m:t> </m:t>
              </m:r>
              <m:sSup>
                <m:sSupPr>
                  <m:ctrlPr>
                    <w:rPr>
                      <w:rFonts w:ascii="Cambria Math" w:hAnsi="Cambria Math"/>
                      <w:i/>
                    </w:rPr>
                  </m:ctrlPr>
                </m:sSupPr>
                <m:e>
                  <m:r>
                    <m:rPr>
                      <m:nor/>
                    </m:rPr>
                    <w:rPr>
                      <w:rFonts w:ascii="Cambria Math" w:hAnsi="Cambria Math"/>
                    </w:rPr>
                    <m:t>km</m:t>
                  </m:r>
                </m:e>
                <m:sup>
                  <m:r>
                    <w:rPr>
                      <w:rFonts w:ascii="Cambria Math" w:hAnsi="Cambria Math"/>
                    </w:rPr>
                    <m:t>2</m:t>
                  </m:r>
                </m:sup>
              </m:sSup>
              <m:ctrlPr>
                <w:rPr>
                  <w:rFonts w:ascii="Cambria Math" w:hAnsi="Cambria Math"/>
                  <w:i/>
                </w:rPr>
              </m:ctrlPr>
            </m:den>
          </m:f>
        </m:oMath>
      </m:oMathPara>
    </w:p>
    <w:p w14:paraId="6DAB5CAD" w14:textId="59969D37" w:rsidR="00E753FA" w:rsidRDefault="00E753FA" w:rsidP="00E753FA">
      <w:pPr>
        <w:pStyle w:val="a7"/>
        <w:numPr>
          <w:ilvl w:val="0"/>
          <w:numId w:val="3"/>
        </w:numPr>
        <w:ind w:firstLineChars="0"/>
        <w:rPr>
          <w:rFonts w:hint="eastAsia"/>
        </w:rPr>
      </w:pPr>
      <w:r w:rsidRPr="003B5F09">
        <w:rPr>
          <w:rFonts w:hint="eastAsia"/>
          <w:b/>
          <w:bCs/>
        </w:rPr>
        <w:t>空间平均航速</w:t>
      </w:r>
      <w:r w:rsidR="003B5F09" w:rsidRPr="003B5F09">
        <w:rPr>
          <w:rFonts w:hint="eastAsia"/>
          <w:b/>
          <w:bCs/>
        </w:rPr>
        <w:t>：</w:t>
      </w:r>
      <w:r>
        <w:rPr>
          <w:rFonts w:hint="eastAsia"/>
        </w:rPr>
        <w:t>对落入网格的所有船舶观测航速取算术平均：</w:t>
      </w:r>
    </w:p>
    <w:p w14:paraId="19A0B923" w14:textId="021A3667" w:rsidR="00E753FA" w:rsidRDefault="003B5F09" w:rsidP="00E753FA">
      <w:pPr>
        <w:rPr>
          <w:rFonts w:hint="eastAsia"/>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i</m:t>
                  </m:r>
                </m:sub>
              </m:sSub>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Cell</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v</m:t>
                  </m:r>
                </m:e>
                <m:sub>
                  <m:r>
                    <w:rPr>
                      <w:rFonts w:ascii="Cambria Math" w:hAnsi="Cambria Math"/>
                    </w:rPr>
                    <m:t>j</m:t>
                  </m:r>
                </m:sub>
              </m:sSub>
              <m:ctrlPr>
                <w:rPr>
                  <w:rFonts w:ascii="Cambria Math" w:hAnsi="Cambria Math"/>
                  <w:i/>
                </w:rPr>
              </m:ctrlPr>
            </m:e>
          </m:nary>
        </m:oMath>
      </m:oMathPara>
    </w:p>
    <w:p w14:paraId="6846FCB1" w14:textId="66073031" w:rsidR="00E753FA" w:rsidRDefault="00E753FA" w:rsidP="00E753FA">
      <w:pPr>
        <w:pStyle w:val="a7"/>
        <w:numPr>
          <w:ilvl w:val="0"/>
          <w:numId w:val="3"/>
        </w:numPr>
        <w:ind w:firstLineChars="0"/>
        <w:rPr>
          <w:rFonts w:hint="eastAsia"/>
        </w:rPr>
      </w:pPr>
      <w:r w:rsidRPr="003B5F09">
        <w:rPr>
          <w:rFonts w:hint="eastAsia"/>
          <w:b/>
          <w:bCs/>
        </w:rPr>
        <w:t>Tanker</w:t>
      </w:r>
      <w:r w:rsidRPr="003B5F09">
        <w:rPr>
          <w:rFonts w:hint="eastAsia"/>
          <w:b/>
          <w:bCs/>
        </w:rPr>
        <w:t>船舶运力</w:t>
      </w:r>
      <w:r w:rsidR="003B5F09" w:rsidRPr="003B5F09">
        <w:rPr>
          <w:rFonts w:hint="eastAsia"/>
          <w:b/>
          <w:bCs/>
        </w:rPr>
        <w:t>：</w:t>
      </w:r>
      <w:r>
        <w:rPr>
          <w:rFonts w:hint="eastAsia"/>
        </w:rPr>
        <w:t>首先基于静态数据估算单艘</w:t>
      </w:r>
      <w:r>
        <w:rPr>
          <w:rFonts w:hint="eastAsia"/>
        </w:rPr>
        <w:t>Tanker</w:t>
      </w:r>
      <w:r>
        <w:rPr>
          <w:rFonts w:hint="eastAsia"/>
        </w:rPr>
        <w:t>的载重吨（</w:t>
      </w:r>
      <w:r>
        <w:rPr>
          <w:rFonts w:hint="eastAsia"/>
        </w:rPr>
        <w:t>Deadweight Tonnage</w:t>
      </w:r>
      <w:r>
        <w:rPr>
          <w:rFonts w:hint="eastAsia"/>
        </w:rPr>
        <w:t>）</w:t>
      </w:r>
      <w:r w:rsidR="003B5F09">
        <w:rPr>
          <w:rFonts w:hint="eastAsia"/>
        </w:rPr>
        <w:t>，然后</w:t>
      </w:r>
      <w:r w:rsidR="003B5F09">
        <w:rPr>
          <w:rFonts w:hint="eastAsia"/>
        </w:rPr>
        <w:t>网格内</w:t>
      </w:r>
      <w:r w:rsidR="003B5F09">
        <w:rPr>
          <w:rFonts w:hint="eastAsia"/>
        </w:rPr>
        <w:t>Tanker</w:t>
      </w:r>
      <w:r w:rsidR="003B5F09">
        <w:rPr>
          <w:rFonts w:hint="eastAsia"/>
        </w:rPr>
        <w:t>运力为所有属于</w:t>
      </w:r>
      <w:r w:rsidR="003B5F09">
        <w:rPr>
          <w:rFonts w:hint="eastAsia"/>
        </w:rPr>
        <w:t>Tanker</w:t>
      </w:r>
      <w:r w:rsidR="003B5F09">
        <w:rPr>
          <w:rFonts w:hint="eastAsia"/>
        </w:rPr>
        <w:t>船型的船舶</w:t>
      </w:r>
      <w:r w:rsidR="003B5F09">
        <w:rPr>
          <w:rFonts w:hint="eastAsia"/>
        </w:rPr>
        <w:t>DWT</w:t>
      </w:r>
      <w:r w:rsidR="003B5F09">
        <w:rPr>
          <w:rFonts w:hint="eastAsia"/>
        </w:rPr>
        <w:t>之和</w:t>
      </w:r>
      <w:r>
        <w:rPr>
          <w:rFonts w:hint="eastAsia"/>
        </w:rPr>
        <w:t>：</w:t>
      </w:r>
    </w:p>
    <w:p w14:paraId="4AC79CE1" w14:textId="6DB37A9A" w:rsidR="00E753FA" w:rsidRDefault="003B5F09" w:rsidP="00E753FA">
      <w:pPr>
        <w:rPr>
          <w:rFonts w:hint="eastAsia"/>
        </w:rPr>
      </w:pPr>
      <m:oMathPara>
        <m:oMath>
          <m:sSubSup>
            <m:sSubSupPr>
              <m:ctrlPr>
                <w:rPr>
                  <w:rFonts w:ascii="Cambria Math" w:hAnsi="Cambria Math"/>
                  <w:i/>
                </w:rPr>
              </m:ctrlPr>
            </m:sSubSupPr>
            <m:e>
              <m:r>
                <m:rPr>
                  <m:nor/>
                </m:rPr>
                <w:rPr>
                  <w:rFonts w:ascii="Cambria Math" w:hAnsi="Cambria Math"/>
                </w:rPr>
                <m:t>DWT</m:t>
              </m:r>
              <m:ctrlPr>
                <w:rPr>
                  <w:rFonts w:ascii="Cambria Math" w:hAnsi="Cambria Math"/>
                </w:rPr>
              </m:ctrlPr>
            </m:e>
            <m:sub>
              <m:r>
                <w:rPr>
                  <w:rFonts w:ascii="Cambria Math" w:hAnsi="Cambria Math"/>
                </w:rPr>
                <m:t>j</m:t>
              </m:r>
            </m:sub>
            <m:sup>
              <m:r>
                <m:rPr>
                  <m:nor/>
                </m:rPr>
                <w:rPr>
                  <w:rFonts w:ascii="Cambria Math" w:hAnsi="Cambria Math"/>
                </w:rPr>
                <m:t>Tanker</m:t>
              </m:r>
            </m:sup>
          </m:sSubSup>
          <m:r>
            <w:rPr>
              <w:rFonts w:ascii="Cambria Math" w:hAnsi="Cambria Math"/>
            </w:rPr>
            <m:t>=</m:t>
          </m:r>
          <m:sSub>
            <m:sSubPr>
              <m:ctrlPr>
                <w:rPr>
                  <w:rFonts w:ascii="Cambria Math" w:hAnsi="Cambria Math"/>
                  <w:i/>
                </w:rPr>
              </m:ctrlPr>
            </m:sSubPr>
            <m:e>
              <m:r>
                <w:rPr>
                  <w:rFonts w:ascii="Cambria Math" w:hAnsi="Cambria Math"/>
                </w:rPr>
                <m:t>K</m:t>
              </m:r>
            </m:e>
            <m:sub>
              <m:r>
                <m:rPr>
                  <m:nor/>
                </m:rPr>
                <w:rPr>
                  <w:rFonts w:ascii="Cambria Math" w:hAnsi="Cambria Math"/>
                </w:rPr>
                <m:t>Tanker</m:t>
              </m:r>
            </m:sub>
          </m:sSub>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j</m:t>
              </m:r>
            </m:sub>
          </m:sSub>
        </m:oMath>
      </m:oMathPara>
    </w:p>
    <w:p w14:paraId="12AB2C8A" w14:textId="709E9150" w:rsidR="00E753FA" w:rsidRDefault="003B5F09" w:rsidP="00E753FA">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m:rPr>
                  <m:nor/>
                </m:rPr>
                <w:rPr>
                  <w:rFonts w:ascii="Cambria Math" w:hAnsi="Cambria Math"/>
                </w:rPr>
                <m:t>Tanker</m:t>
              </m:r>
            </m:sup>
          </m:sSubSup>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Cell</m:t>
                  </m:r>
                  <m:ctrlPr>
                    <w:rPr>
                      <w:rFonts w:ascii="Cambria Math" w:hAnsi="Cambria Math"/>
                    </w:rPr>
                  </m:ctrlPr>
                </m:e>
                <m:sub>
                  <m:r>
                    <w:rPr>
                      <w:rFonts w:ascii="Cambria Math" w:hAnsi="Cambria Math"/>
                    </w:rPr>
                    <m:t>i</m:t>
                  </m:r>
                </m:sub>
              </m:sSub>
              <m:r>
                <m:rPr>
                  <m:sty m:val="p"/>
                </m:rPr>
                <w:rPr>
                  <w:rFonts w:ascii="Cambria Math" w:hAnsi="Cambria Math" w:hint="eastAsia"/>
                </w:rPr>
                <m:t>∩</m:t>
              </m:r>
              <m:r>
                <m:rPr>
                  <m:scr m:val="script"/>
                </m:rPr>
                <w:rPr>
                  <w:rFonts w:ascii="Cambria Math" w:hAnsi="Cambria Math"/>
                </w:rPr>
                <m:t>T</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m:rPr>
                      <m:nor/>
                    </m:rPr>
                    <w:rPr>
                      <w:rFonts w:ascii="Cambria Math" w:hAnsi="Cambria Math"/>
                    </w:rPr>
                    <m:t>DWT</m:t>
                  </m:r>
                </m:e>
                <m:sub>
                  <m:r>
                    <w:rPr>
                      <w:rFonts w:ascii="Cambria Math" w:hAnsi="Cambria Math"/>
                    </w:rPr>
                    <m:t>j</m:t>
                  </m:r>
                </m:sub>
                <m:sup>
                  <m:r>
                    <m:rPr>
                      <m:nor/>
                    </m:rPr>
                    <w:rPr>
                      <w:rFonts w:ascii="Cambria Math" w:hAnsi="Cambria Math"/>
                    </w:rPr>
                    <m:t>Tanker</m:t>
                  </m:r>
                </m:sup>
              </m:sSubSup>
              <m:ctrlPr>
                <w:rPr>
                  <w:rFonts w:ascii="Cambria Math" w:hAnsi="Cambria Math"/>
                  <w:i/>
                </w:rPr>
              </m:ctrlPr>
            </m:e>
          </m:nary>
        </m:oMath>
      </m:oMathPara>
    </w:p>
    <w:p w14:paraId="6323D4A3" w14:textId="3CD0B678" w:rsidR="00E753FA" w:rsidRDefault="00E753FA" w:rsidP="00E753FA">
      <w:pPr>
        <w:pStyle w:val="a7"/>
        <w:numPr>
          <w:ilvl w:val="0"/>
          <w:numId w:val="3"/>
        </w:numPr>
        <w:ind w:firstLineChars="0"/>
        <w:rPr>
          <w:rFonts w:hint="eastAsia"/>
        </w:rPr>
      </w:pPr>
      <w:r w:rsidRPr="003B5F09">
        <w:rPr>
          <w:rFonts w:hint="eastAsia"/>
          <w:b/>
          <w:bCs/>
        </w:rPr>
        <w:t>LNG</w:t>
      </w:r>
      <w:r w:rsidRPr="003B5F09">
        <w:rPr>
          <w:rFonts w:hint="eastAsia"/>
          <w:b/>
          <w:bCs/>
        </w:rPr>
        <w:t>船舶运力</w:t>
      </w:r>
      <w:r w:rsidR="003B5F09" w:rsidRPr="003B5F09">
        <w:rPr>
          <w:rFonts w:hint="eastAsia"/>
          <w:b/>
          <w:bCs/>
        </w:rPr>
        <w:t>：</w:t>
      </w:r>
      <w:r>
        <w:rPr>
          <w:rFonts w:hint="eastAsia"/>
        </w:rPr>
        <w:t>同理，单艘</w:t>
      </w:r>
      <w:r>
        <w:rPr>
          <w:rFonts w:hint="eastAsia"/>
        </w:rPr>
        <w:t xml:space="preserve"> LNG </w:t>
      </w:r>
      <w:r>
        <w:rPr>
          <w:rFonts w:hint="eastAsia"/>
        </w:rPr>
        <w:t>船载重吨估算：</w:t>
      </w:r>
    </w:p>
    <w:p w14:paraId="5F0908D5" w14:textId="2C8C1BD6" w:rsidR="00E753FA" w:rsidRDefault="003B5F09" w:rsidP="00E753FA">
      <m:oMathPara>
        <m:oMath>
          <m:sSubSup>
            <m:sSubSupPr>
              <m:ctrlPr>
                <w:rPr>
                  <w:rFonts w:ascii="Cambria Math" w:hAnsi="Cambria Math"/>
                  <w:i/>
                </w:rPr>
              </m:ctrlPr>
            </m:sSubSupPr>
            <m:e>
              <m:r>
                <m:rPr>
                  <m:nor/>
                </m:rPr>
                <w:rPr>
                  <w:rFonts w:ascii="Cambria Math" w:hAnsi="Cambria Math"/>
                </w:rPr>
                <m:t>DWT</m:t>
              </m:r>
              <m:ctrlPr>
                <w:rPr>
                  <w:rFonts w:ascii="Cambria Math" w:hAnsi="Cambria Math"/>
                </w:rPr>
              </m:ctrlPr>
            </m:e>
            <m:sub>
              <m:r>
                <w:rPr>
                  <w:rFonts w:ascii="Cambria Math" w:hAnsi="Cambria Math"/>
                </w:rPr>
                <m:t>j</m:t>
              </m:r>
            </m:sub>
            <m:sup>
              <m:r>
                <m:rPr>
                  <m:nor/>
                </m:rPr>
                <w:rPr>
                  <w:rFonts w:ascii="Cambria Math" w:hAnsi="Cambria Math"/>
                </w:rPr>
                <m:t>LNG</m:t>
              </m:r>
            </m:sup>
          </m:sSubSup>
          <m:r>
            <w:rPr>
              <w:rFonts w:ascii="Cambria Math" w:hAnsi="Cambria Math"/>
            </w:rPr>
            <m:t>=</m:t>
          </m:r>
          <m:sSub>
            <m:sSubPr>
              <m:ctrlPr>
                <w:rPr>
                  <w:rFonts w:ascii="Cambria Math" w:hAnsi="Cambria Math"/>
                  <w:i/>
                </w:rPr>
              </m:ctrlPr>
            </m:sSubPr>
            <m:e>
              <m:r>
                <w:rPr>
                  <w:rFonts w:ascii="Cambria Math" w:hAnsi="Cambria Math"/>
                </w:rPr>
                <m:t>K</m:t>
              </m:r>
            </m:e>
            <m:sub>
              <m:r>
                <m:rPr>
                  <m:nor/>
                </m:rPr>
                <w:rPr>
                  <w:rFonts w:ascii="Cambria Math" w:hAnsi="Cambria Math"/>
                </w:rPr>
                <m:t>LNG</m:t>
              </m:r>
            </m:sub>
          </m:sSub>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j</m:t>
              </m:r>
            </m:sub>
          </m:sSub>
        </m:oMath>
      </m:oMathPara>
    </w:p>
    <w:p w14:paraId="70A8B3EA" w14:textId="115DD799" w:rsidR="00E753FA" w:rsidRPr="003B5F09" w:rsidRDefault="003B5F09" w:rsidP="00E753FA">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m:rPr>
                  <m:nor/>
                </m:rPr>
                <w:rPr>
                  <w:rFonts w:ascii="Cambria Math" w:hAnsi="Cambria Math"/>
                </w:rPr>
                <m:t>LNG</m:t>
              </m:r>
            </m:sup>
          </m:sSubSup>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Cell</m:t>
                  </m:r>
                  <m:ctrlPr>
                    <w:rPr>
                      <w:rFonts w:ascii="Cambria Math" w:hAnsi="Cambria Math"/>
                    </w:rPr>
                  </m:ctrlPr>
                </m:e>
                <m:sub>
                  <m:r>
                    <w:rPr>
                      <w:rFonts w:ascii="Cambria Math" w:hAnsi="Cambria Math"/>
                    </w:rPr>
                    <m:t>i</m:t>
                  </m:r>
                </m:sub>
              </m:sSub>
              <m:r>
                <m:rPr>
                  <m:sty m:val="p"/>
                </m:rPr>
                <w:rPr>
                  <w:rFonts w:ascii="Cambria Math" w:hAnsi="Cambria Math" w:hint="eastAsia"/>
                </w:rPr>
                <m:t>∩</m:t>
              </m:r>
              <m:r>
                <m:rPr>
                  <m:scr m:val="script"/>
                </m:rPr>
                <w:rPr>
                  <w:rFonts w:ascii="Cambria Math" w:hAnsi="Cambria Math"/>
                </w:rPr>
                <m:t>L</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m:rPr>
                      <m:nor/>
                    </m:rPr>
                    <w:rPr>
                      <w:rFonts w:ascii="Cambria Math" w:hAnsi="Cambria Math"/>
                    </w:rPr>
                    <m:t>DWT</m:t>
                  </m:r>
                </m:e>
                <m:sub>
                  <m:r>
                    <w:rPr>
                      <w:rFonts w:ascii="Cambria Math" w:hAnsi="Cambria Math"/>
                    </w:rPr>
                    <m:t>j</m:t>
                  </m:r>
                </m:sub>
                <m:sup>
                  <m:r>
                    <m:rPr>
                      <m:nor/>
                    </m:rPr>
                    <w:rPr>
                      <w:rFonts w:ascii="Cambria Math" w:hAnsi="Cambria Math"/>
                    </w:rPr>
                    <m:t>LNG</m:t>
                  </m:r>
                </m:sup>
              </m:sSubSup>
              <m:ctrlPr>
                <w:rPr>
                  <w:rFonts w:ascii="Cambria Math" w:hAnsi="Cambria Math"/>
                  <w:i/>
                </w:rPr>
              </m:ctrlPr>
            </m:e>
          </m:nary>
        </m:oMath>
      </m:oMathPara>
    </w:p>
    <w:p w14:paraId="758D7610" w14:textId="53D9B705" w:rsidR="003B5F09" w:rsidRPr="003B5F09" w:rsidRDefault="003B5F09" w:rsidP="000F1A81">
      <w:pPr>
        <w:pStyle w:val="2"/>
      </w:pPr>
      <w:r w:rsidRPr="003B5F09">
        <w:lastRenderedPageBreak/>
        <w:t>三、</w:t>
      </w:r>
      <w:r w:rsidR="008310B7">
        <w:rPr>
          <w:rFonts w:hint="eastAsia"/>
        </w:rPr>
        <w:t>霍尔木兹海峡</w:t>
      </w:r>
      <w:r w:rsidRPr="003B5F09">
        <w:t>航运格局</w:t>
      </w:r>
    </w:p>
    <w:p w14:paraId="5824C473" w14:textId="65280615" w:rsidR="003B5F09" w:rsidRDefault="004F4FAF" w:rsidP="004F4FAF">
      <w:pPr>
        <w:pStyle w:val="3"/>
      </w:pPr>
      <w:r w:rsidRPr="004F4FAF">
        <w:rPr>
          <w:rFonts w:hint="eastAsia"/>
        </w:rPr>
        <w:t xml:space="preserve">3.1 </w:t>
      </w:r>
      <w:r>
        <w:rPr>
          <w:rFonts w:hint="eastAsia"/>
        </w:rPr>
        <w:t>主要</w:t>
      </w:r>
      <w:r w:rsidRPr="004F4FAF">
        <w:rPr>
          <w:rFonts w:hint="eastAsia"/>
        </w:rPr>
        <w:t>航道构成与交通特征</w:t>
      </w:r>
    </w:p>
    <w:p w14:paraId="33AC4607" w14:textId="4D95B97E" w:rsidR="002E3875" w:rsidRDefault="002E3875" w:rsidP="002E3875">
      <w:pPr>
        <w:rPr>
          <w:rFonts w:hint="eastAsia"/>
        </w:rPr>
      </w:pPr>
      <w:r>
        <w:tab/>
      </w:r>
      <w:r>
        <w:rPr>
          <w:rFonts w:hint="eastAsia"/>
        </w:rPr>
        <w:t>在封锁发生之前，霍尔木兹海峡形成了高度稳定的能源运输网络。根据</w:t>
      </w:r>
      <w:r>
        <w:rPr>
          <w:rFonts w:hint="eastAsia"/>
        </w:rPr>
        <w:t>AIS</w:t>
      </w:r>
      <w:r>
        <w:rPr>
          <w:rFonts w:hint="eastAsia"/>
        </w:rPr>
        <w:t>轨迹空间分布，海峡内部存在三条主要航道：</w:t>
      </w:r>
    </w:p>
    <w:p w14:paraId="7AF52881" w14:textId="264E6BAF" w:rsidR="002E3875" w:rsidRDefault="002E3875" w:rsidP="002E3875">
      <w:pPr>
        <w:rPr>
          <w:rFonts w:hint="eastAsia"/>
        </w:rPr>
      </w:pPr>
      <w:r>
        <w:tab/>
      </w:r>
      <w:r>
        <w:rPr>
          <w:rFonts w:hint="eastAsia"/>
        </w:rPr>
        <w:t>中央主航道：位于海峡最窄处，水深条件最优，是</w:t>
      </w:r>
      <w:r>
        <w:rPr>
          <w:rFonts w:hint="eastAsia"/>
        </w:rPr>
        <w:t>VLCC</w:t>
      </w:r>
      <w:r>
        <w:rPr>
          <w:rFonts w:hint="eastAsia"/>
        </w:rPr>
        <w:t>和大型</w:t>
      </w:r>
      <w:r>
        <w:rPr>
          <w:rFonts w:hint="eastAsia"/>
        </w:rPr>
        <w:t>LNG</w:t>
      </w:r>
      <w:r>
        <w:rPr>
          <w:rFonts w:hint="eastAsia"/>
        </w:rPr>
        <w:t>船的主要通行路径。该航道承担约</w:t>
      </w:r>
      <w:r>
        <w:rPr>
          <w:rFonts w:hint="eastAsia"/>
        </w:rPr>
        <w:t>60%</w:t>
      </w:r>
      <w:r>
        <w:rPr>
          <w:rFonts w:hint="eastAsia"/>
        </w:rPr>
        <w:t>至</w:t>
      </w:r>
      <w:r>
        <w:rPr>
          <w:rFonts w:hint="eastAsia"/>
        </w:rPr>
        <w:t>70%</w:t>
      </w:r>
      <w:r>
        <w:rPr>
          <w:rFonts w:hint="eastAsia"/>
        </w:rPr>
        <w:t>的总通行量。</w:t>
      </w:r>
    </w:p>
    <w:p w14:paraId="21937C65" w14:textId="0F956202" w:rsidR="002E3875" w:rsidRDefault="002E3875" w:rsidP="002E3875">
      <w:pPr>
        <w:rPr>
          <w:rFonts w:hint="eastAsia"/>
        </w:rPr>
      </w:pPr>
      <w:r>
        <w:tab/>
      </w:r>
      <w:r>
        <w:rPr>
          <w:rFonts w:hint="eastAsia"/>
        </w:rPr>
        <w:t>伊朗北部航道：靠近伊朗领海一侧，水深相对较浅，主要由中小型油轮和沿海运输船使用，承担约</w:t>
      </w:r>
      <w:r>
        <w:rPr>
          <w:rFonts w:hint="eastAsia"/>
        </w:rPr>
        <w:t>20%</w:t>
      </w:r>
      <w:r>
        <w:rPr>
          <w:rFonts w:hint="eastAsia"/>
        </w:rPr>
        <w:t>至</w:t>
      </w:r>
      <w:r>
        <w:rPr>
          <w:rFonts w:hint="eastAsia"/>
        </w:rPr>
        <w:t>25%</w:t>
      </w:r>
      <w:r>
        <w:rPr>
          <w:rFonts w:hint="eastAsia"/>
        </w:rPr>
        <w:t>的通行量。</w:t>
      </w:r>
    </w:p>
    <w:p w14:paraId="4FEA4987" w14:textId="38C53393" w:rsidR="002E3875" w:rsidRDefault="002E3875" w:rsidP="002E3875">
      <w:pPr>
        <w:rPr>
          <w:rFonts w:hint="eastAsia"/>
        </w:rPr>
      </w:pPr>
      <w:r>
        <w:tab/>
      </w:r>
      <w:r>
        <w:rPr>
          <w:rFonts w:hint="eastAsia"/>
        </w:rPr>
        <w:t>阿曼南部航道：靠近阿曼一侧，部分船舶为规避伊朗水域而选择此路径，承担约</w:t>
      </w:r>
      <w:r>
        <w:rPr>
          <w:rFonts w:hint="eastAsia"/>
        </w:rPr>
        <w:t>10%</w:t>
      </w:r>
      <w:r>
        <w:rPr>
          <w:rFonts w:hint="eastAsia"/>
        </w:rPr>
        <w:t>至</w:t>
      </w:r>
      <w:r>
        <w:rPr>
          <w:rFonts w:hint="eastAsia"/>
        </w:rPr>
        <w:t>15%</w:t>
      </w:r>
      <w:r>
        <w:rPr>
          <w:rFonts w:hint="eastAsia"/>
        </w:rPr>
        <w:t>的通行量。</w:t>
      </w:r>
    </w:p>
    <w:p w14:paraId="28F69424" w14:textId="7E5E7D91" w:rsidR="004F4FAF" w:rsidRPr="002E3875" w:rsidRDefault="002E3875" w:rsidP="004F4FAF">
      <w:pPr>
        <w:rPr>
          <w:rFonts w:hint="eastAsia"/>
        </w:rPr>
      </w:pPr>
      <w:r>
        <w:tab/>
      </w:r>
      <w:r>
        <w:rPr>
          <w:rFonts w:hint="eastAsia"/>
        </w:rPr>
        <w:t>船型构成来看，超大型原油轮（</w:t>
      </w:r>
      <w:r>
        <w:rPr>
          <w:rFonts w:hint="eastAsia"/>
        </w:rPr>
        <w:t>VLCC</w:t>
      </w:r>
      <w:r>
        <w:rPr>
          <w:rFonts w:hint="eastAsia"/>
        </w:rPr>
        <w:t>）是海峡通行主力，日均约</w:t>
      </w:r>
      <w:r>
        <w:rPr>
          <w:rFonts w:hint="eastAsia"/>
        </w:rPr>
        <w:t>40</w:t>
      </w:r>
      <w:r>
        <w:rPr>
          <w:rFonts w:hint="eastAsia"/>
        </w:rPr>
        <w:t>至</w:t>
      </w:r>
      <w:r>
        <w:rPr>
          <w:rFonts w:hint="eastAsia"/>
        </w:rPr>
        <w:t>50</w:t>
      </w:r>
      <w:r>
        <w:rPr>
          <w:rFonts w:hint="eastAsia"/>
        </w:rPr>
        <w:t>艘；苏伊士型和阿芙拉型油轮日均约</w:t>
      </w:r>
      <w:r>
        <w:rPr>
          <w:rFonts w:hint="eastAsia"/>
        </w:rPr>
        <w:t>25</w:t>
      </w:r>
      <w:r>
        <w:rPr>
          <w:rFonts w:hint="eastAsia"/>
        </w:rPr>
        <w:t>至</w:t>
      </w:r>
      <w:r>
        <w:rPr>
          <w:rFonts w:hint="eastAsia"/>
        </w:rPr>
        <w:t>35</w:t>
      </w:r>
      <w:r>
        <w:rPr>
          <w:rFonts w:hint="eastAsia"/>
        </w:rPr>
        <w:t>艘；</w:t>
      </w:r>
      <w:r>
        <w:rPr>
          <w:rFonts w:hint="eastAsia"/>
        </w:rPr>
        <w:t>LNG</w:t>
      </w:r>
      <w:r>
        <w:rPr>
          <w:rFonts w:hint="eastAsia"/>
        </w:rPr>
        <w:t>运输船日均约</w:t>
      </w:r>
      <w:r>
        <w:rPr>
          <w:rFonts w:hint="eastAsia"/>
        </w:rPr>
        <w:t>15</w:t>
      </w:r>
      <w:r>
        <w:rPr>
          <w:rFonts w:hint="eastAsia"/>
        </w:rPr>
        <w:t>至</w:t>
      </w:r>
      <w:r>
        <w:rPr>
          <w:rFonts w:hint="eastAsia"/>
        </w:rPr>
        <w:t>20</w:t>
      </w:r>
      <w:r>
        <w:rPr>
          <w:rFonts w:hint="eastAsia"/>
        </w:rPr>
        <w:t>艘；此外还有</w:t>
      </w:r>
      <w:r>
        <w:rPr>
          <w:rFonts w:hint="eastAsia"/>
        </w:rPr>
        <w:t>LPG</w:t>
      </w:r>
      <w:r>
        <w:rPr>
          <w:rFonts w:hint="eastAsia"/>
        </w:rPr>
        <w:t>船、成品油轮、化学品船及少量集装箱船和干散货船。</w:t>
      </w:r>
    </w:p>
    <w:p w14:paraId="169DDF2E" w14:textId="77777777" w:rsidR="004F4FAF" w:rsidRDefault="004F4FAF" w:rsidP="004F4FAF">
      <w:pPr>
        <w:pStyle w:val="3"/>
      </w:pPr>
      <w:r w:rsidRPr="004F4FAF">
        <w:rPr>
          <w:rFonts w:hint="eastAsia"/>
        </w:rPr>
        <w:t xml:space="preserve">3.2 </w:t>
      </w:r>
      <w:r w:rsidRPr="004F4FAF">
        <w:rPr>
          <w:rFonts w:hint="eastAsia"/>
        </w:rPr>
        <w:t>封锁前</w:t>
      </w:r>
      <w:r>
        <w:rPr>
          <w:rFonts w:hint="eastAsia"/>
        </w:rPr>
        <w:t>后</w:t>
      </w:r>
      <w:r w:rsidRPr="004F4FAF">
        <w:rPr>
          <w:rFonts w:hint="eastAsia"/>
        </w:rPr>
        <w:t>船舶密度与航速分布</w:t>
      </w:r>
    </w:p>
    <w:p w14:paraId="52173DF7" w14:textId="076F3332" w:rsidR="00721154" w:rsidRDefault="00721154" w:rsidP="00721154">
      <w:pPr>
        <w:jc w:val="center"/>
        <w:rPr>
          <w:rFonts w:ascii="inherit" w:hAnsi="inherit" w:cs="Segoe UI"/>
          <w:kern w:val="0"/>
          <w:sz w:val="18"/>
          <w:szCs w:val="18"/>
        </w:rPr>
      </w:pPr>
      <w:r w:rsidRPr="00721154">
        <w:rPr>
          <w:rFonts w:ascii="inherit" w:hAnsi="inherit" w:cs="Segoe UI"/>
          <w:kern w:val="0"/>
          <w:sz w:val="18"/>
          <w:szCs w:val="18"/>
        </w:rPr>
        <w:t>左上：</w:t>
      </w:r>
      <w:r w:rsidRPr="00721154">
        <w:rPr>
          <w:rFonts w:ascii="inherit" w:hAnsi="inherit" w:cs="Segoe UI"/>
          <w:kern w:val="0"/>
          <w:sz w:val="18"/>
          <w:szCs w:val="18"/>
        </w:rPr>
        <w:t>2025</w:t>
      </w:r>
      <w:r w:rsidRPr="00721154">
        <w:rPr>
          <w:rFonts w:ascii="inherit" w:hAnsi="inherit" w:cs="Segoe UI"/>
          <w:kern w:val="0"/>
          <w:sz w:val="18"/>
          <w:szCs w:val="18"/>
        </w:rPr>
        <w:t>年封锁前船舶密度</w:t>
      </w:r>
      <w:r w:rsidRPr="00721154">
        <w:rPr>
          <w:rFonts w:hint="eastAsia"/>
          <w:sz w:val="18"/>
          <w:szCs w:val="18"/>
        </w:rPr>
        <w:t>；</w:t>
      </w:r>
      <w:r w:rsidRPr="00721154">
        <w:rPr>
          <w:rFonts w:ascii="inherit" w:hAnsi="inherit" w:cs="Segoe UI"/>
          <w:kern w:val="0"/>
          <w:sz w:val="18"/>
          <w:szCs w:val="18"/>
        </w:rPr>
        <w:t>右上：</w:t>
      </w:r>
      <w:r w:rsidRPr="00721154">
        <w:rPr>
          <w:rFonts w:ascii="inherit" w:hAnsi="inherit" w:cs="Segoe UI"/>
          <w:kern w:val="0"/>
          <w:sz w:val="18"/>
          <w:szCs w:val="18"/>
        </w:rPr>
        <w:t>2025</w:t>
      </w:r>
      <w:r w:rsidRPr="00721154">
        <w:rPr>
          <w:rFonts w:ascii="inherit" w:hAnsi="inherit" w:cs="Segoe UI"/>
          <w:kern w:val="0"/>
          <w:sz w:val="18"/>
          <w:szCs w:val="18"/>
        </w:rPr>
        <w:t>年封锁前航速</w:t>
      </w:r>
      <w:r w:rsidR="008310B7">
        <w:rPr>
          <w:rFonts w:ascii="inherit" w:hAnsi="inherit" w:cs="Segoe UI" w:hint="eastAsia"/>
          <w:kern w:val="0"/>
          <w:sz w:val="18"/>
          <w:szCs w:val="18"/>
        </w:rPr>
        <w:t>分布</w:t>
      </w:r>
      <w:r w:rsidR="002E3875" w:rsidRPr="00721154">
        <w:rPr>
          <w:noProof/>
          <w:sz w:val="18"/>
          <w:szCs w:val="18"/>
        </w:rPr>
        <w:drawing>
          <wp:anchor distT="0" distB="0" distL="114300" distR="114300" simplePos="0" relativeHeight="251658240" behindDoc="0" locked="0" layoutInCell="1" allowOverlap="1" wp14:anchorId="102E1CD5" wp14:editId="6D14BDDA">
            <wp:simplePos x="1141679" y="6094238"/>
            <wp:positionH relativeFrom="column">
              <wp:align>center</wp:align>
            </wp:positionH>
            <wp:positionV relativeFrom="paragraph">
              <wp:posOffset>-180340</wp:posOffset>
            </wp:positionV>
            <wp:extent cx="3240000" cy="32400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E306C1" w14:textId="500BAAA1" w:rsidR="00721154" w:rsidRPr="00721154" w:rsidRDefault="00721154" w:rsidP="00721154">
      <w:pPr>
        <w:jc w:val="center"/>
        <w:rPr>
          <w:rFonts w:hint="eastAsia"/>
          <w:sz w:val="18"/>
          <w:szCs w:val="18"/>
        </w:rPr>
      </w:pPr>
      <w:r w:rsidRPr="00721154">
        <w:rPr>
          <w:rFonts w:ascii="inherit" w:hAnsi="inherit" w:cs="Segoe UI"/>
          <w:kern w:val="0"/>
          <w:sz w:val="18"/>
          <w:szCs w:val="18"/>
        </w:rPr>
        <w:t>左下：</w:t>
      </w:r>
      <w:r w:rsidRPr="00721154">
        <w:rPr>
          <w:rFonts w:ascii="inherit" w:hAnsi="inherit" w:cs="Segoe UI"/>
          <w:kern w:val="0"/>
          <w:sz w:val="18"/>
          <w:szCs w:val="18"/>
        </w:rPr>
        <w:t>2026</w:t>
      </w:r>
      <w:r w:rsidRPr="00721154">
        <w:rPr>
          <w:rFonts w:ascii="inherit" w:hAnsi="inherit" w:cs="Segoe UI"/>
          <w:kern w:val="0"/>
          <w:sz w:val="18"/>
          <w:szCs w:val="18"/>
        </w:rPr>
        <w:t>年封锁后船舶密度</w:t>
      </w:r>
      <w:r w:rsidRPr="00721154">
        <w:rPr>
          <w:rFonts w:hint="eastAsia"/>
          <w:sz w:val="18"/>
          <w:szCs w:val="18"/>
        </w:rPr>
        <w:t>；</w:t>
      </w:r>
      <w:r w:rsidRPr="00721154">
        <w:rPr>
          <w:rFonts w:ascii="inherit" w:hAnsi="inherit" w:cs="Segoe UI"/>
          <w:kern w:val="0"/>
          <w:sz w:val="18"/>
          <w:szCs w:val="18"/>
        </w:rPr>
        <w:t>右下：</w:t>
      </w:r>
      <w:r w:rsidRPr="00721154">
        <w:rPr>
          <w:rFonts w:ascii="inherit" w:hAnsi="inherit" w:cs="Segoe UI"/>
          <w:kern w:val="0"/>
          <w:sz w:val="18"/>
          <w:szCs w:val="18"/>
        </w:rPr>
        <w:t>2026</w:t>
      </w:r>
      <w:r w:rsidRPr="00721154">
        <w:rPr>
          <w:rFonts w:ascii="inherit" w:hAnsi="inherit" w:cs="Segoe UI"/>
          <w:kern w:val="0"/>
          <w:sz w:val="18"/>
          <w:szCs w:val="18"/>
        </w:rPr>
        <w:t>年封锁后航速</w:t>
      </w:r>
      <w:r w:rsidR="008310B7">
        <w:rPr>
          <w:rFonts w:ascii="inherit" w:hAnsi="inherit" w:cs="Segoe UI" w:hint="eastAsia"/>
          <w:kern w:val="0"/>
          <w:sz w:val="18"/>
          <w:szCs w:val="18"/>
        </w:rPr>
        <w:t>分布</w:t>
      </w:r>
    </w:p>
    <w:p w14:paraId="7A23C1B7" w14:textId="4331731D" w:rsidR="00721154" w:rsidRDefault="00721154" w:rsidP="00721154">
      <w:r>
        <w:lastRenderedPageBreak/>
        <w:tab/>
      </w:r>
      <w:r>
        <w:rPr>
          <w:rFonts w:hint="eastAsia"/>
        </w:rPr>
        <w:t>从四象限对比图可以清晰观察到，霍尔木兹海峡在封锁前后经历了从“高密度快速通道”向“低密度分散等待”的结构性转变。</w:t>
      </w:r>
    </w:p>
    <w:p w14:paraId="15E4220A" w14:textId="39228FF9" w:rsidR="00594261" w:rsidRPr="00594261" w:rsidRDefault="00721154" w:rsidP="00594261">
      <w:pPr>
        <w:rPr>
          <w:rFonts w:hint="eastAsia"/>
        </w:rPr>
      </w:pPr>
      <w:r>
        <w:tab/>
      </w:r>
      <w:r w:rsidR="00594261" w:rsidRPr="00594261">
        <w:rPr>
          <w:rFonts w:hint="eastAsia"/>
          <w:b/>
          <w:bCs/>
        </w:rPr>
        <w:t>封锁前（</w:t>
      </w:r>
      <w:r w:rsidR="00594261" w:rsidRPr="00594261">
        <w:rPr>
          <w:rFonts w:hint="eastAsia"/>
          <w:b/>
          <w:bCs/>
        </w:rPr>
        <w:t>2025</w:t>
      </w:r>
      <w:r w:rsidR="00594261" w:rsidRPr="00594261">
        <w:rPr>
          <w:rFonts w:hint="eastAsia"/>
          <w:b/>
          <w:bCs/>
        </w:rPr>
        <w:t>）：</w:t>
      </w:r>
      <w:r w:rsidR="00594261" w:rsidRPr="00594261">
        <w:rPr>
          <w:rFonts w:hint="eastAsia"/>
          <w:b/>
          <w:bCs/>
        </w:rPr>
        <w:t xml:space="preserve"> </w:t>
      </w:r>
      <w:r w:rsidR="00594261" w:rsidRPr="00594261">
        <w:rPr>
          <w:rFonts w:hint="eastAsia"/>
        </w:rPr>
        <w:t>船舶密度高度集中于海峡最窄处（</w:t>
      </w:r>
      <w:r w:rsidR="00594261" w:rsidRPr="00594261">
        <w:rPr>
          <w:rFonts w:hint="eastAsia"/>
        </w:rPr>
        <w:t>56.0</w:t>
      </w:r>
      <w:r w:rsidR="00594261" w:rsidRPr="00594261">
        <w:rPr>
          <w:rFonts w:hint="eastAsia"/>
        </w:rPr>
        <w:t>°</w:t>
      </w:r>
      <w:r w:rsidR="00594261" w:rsidRPr="00594261">
        <w:rPr>
          <w:rFonts w:hint="eastAsia"/>
        </w:rPr>
        <w:t>E</w:t>
      </w:r>
      <w:r w:rsidR="00594261" w:rsidRPr="00594261">
        <w:rPr>
          <w:rFonts w:hint="eastAsia"/>
        </w:rPr>
        <w:t>–</w:t>
      </w:r>
      <w:r w:rsidR="00594261" w:rsidRPr="00594261">
        <w:rPr>
          <w:rFonts w:hint="eastAsia"/>
        </w:rPr>
        <w:t>57.0</w:t>
      </w:r>
      <w:r w:rsidR="00594261" w:rsidRPr="00594261">
        <w:rPr>
          <w:rFonts w:hint="eastAsia"/>
        </w:rPr>
        <w:t>°</w:t>
      </w:r>
      <w:r w:rsidR="00594261" w:rsidRPr="00594261">
        <w:rPr>
          <w:rFonts w:hint="eastAsia"/>
        </w:rPr>
        <w:t>E</w:t>
      </w:r>
      <w:r w:rsidR="00594261" w:rsidRPr="00594261">
        <w:rPr>
          <w:rFonts w:hint="eastAsia"/>
        </w:rPr>
        <w:t>，</w:t>
      </w:r>
      <w:r w:rsidR="00594261" w:rsidRPr="00594261">
        <w:rPr>
          <w:rFonts w:hint="eastAsia"/>
        </w:rPr>
        <w:t>25.5</w:t>
      </w:r>
      <w:r w:rsidR="00594261" w:rsidRPr="00594261">
        <w:rPr>
          <w:rFonts w:hint="eastAsia"/>
        </w:rPr>
        <w:t>°</w:t>
      </w:r>
      <w:r w:rsidR="00594261" w:rsidRPr="00594261">
        <w:rPr>
          <w:rFonts w:hint="eastAsia"/>
        </w:rPr>
        <w:t>N</w:t>
      </w:r>
      <w:r w:rsidR="00594261" w:rsidRPr="00594261">
        <w:rPr>
          <w:rFonts w:hint="eastAsia"/>
        </w:rPr>
        <w:t>–</w:t>
      </w:r>
      <w:r w:rsidR="00594261" w:rsidRPr="00594261">
        <w:rPr>
          <w:rFonts w:hint="eastAsia"/>
        </w:rPr>
        <w:t>26.5</w:t>
      </w:r>
      <w:r w:rsidR="00594261" w:rsidRPr="00594261">
        <w:rPr>
          <w:rFonts w:hint="eastAsia"/>
        </w:rPr>
        <w:t>°</w:t>
      </w:r>
      <w:r w:rsidR="00594261" w:rsidRPr="00594261">
        <w:rPr>
          <w:rFonts w:hint="eastAsia"/>
        </w:rPr>
        <w:t>N</w:t>
      </w:r>
      <w:r w:rsidR="00594261" w:rsidRPr="00594261">
        <w:rPr>
          <w:rFonts w:hint="eastAsia"/>
        </w:rPr>
        <w:t>），呈线状橙黄色带贯通波斯湾与阿曼湾，体现单一瓶颈航道的物理特征。对应航速图呈均匀深绿色，船舶维持正常经济航速（</w:t>
      </w:r>
      <w:r w:rsidR="00594261" w:rsidRPr="00594261">
        <w:rPr>
          <w:rFonts w:hint="eastAsia"/>
        </w:rPr>
        <w:t>12</w:t>
      </w:r>
      <w:r w:rsidR="00594261" w:rsidRPr="00594261">
        <w:rPr>
          <w:rFonts w:hint="eastAsia"/>
        </w:rPr>
        <w:t>–</w:t>
      </w:r>
      <w:r w:rsidR="00594261" w:rsidRPr="00594261">
        <w:rPr>
          <w:rFonts w:hint="eastAsia"/>
        </w:rPr>
        <w:t>16</w:t>
      </w:r>
      <w:r w:rsidR="00594261" w:rsidRPr="00594261">
        <w:rPr>
          <w:rFonts w:hint="eastAsia"/>
        </w:rPr>
        <w:t>节），仅港口近岸有零星低速斑点，无大规模等待。航运系统处于“效率优先”稳态：沿固定主航道快速通过，空间结构紧凑。</w:t>
      </w:r>
    </w:p>
    <w:p w14:paraId="360F4F8E" w14:textId="38A0BDAC" w:rsidR="004F4FAF" w:rsidRDefault="00594261" w:rsidP="00594261">
      <w:r>
        <w:tab/>
      </w:r>
      <w:r w:rsidRPr="00594261">
        <w:rPr>
          <w:rFonts w:hint="eastAsia"/>
          <w:b/>
          <w:bCs/>
        </w:rPr>
        <w:t>封锁后（</w:t>
      </w:r>
      <w:r w:rsidRPr="00594261">
        <w:rPr>
          <w:rFonts w:hint="eastAsia"/>
          <w:b/>
          <w:bCs/>
        </w:rPr>
        <w:t>2026</w:t>
      </w:r>
      <w:r w:rsidRPr="00594261">
        <w:rPr>
          <w:rFonts w:hint="eastAsia"/>
          <w:b/>
          <w:bCs/>
        </w:rPr>
        <w:t>）：</w:t>
      </w:r>
      <w:r w:rsidRPr="00594261">
        <w:rPr>
          <w:rFonts w:hint="eastAsia"/>
        </w:rPr>
        <w:t xml:space="preserve"> </w:t>
      </w:r>
      <w:r w:rsidRPr="00594261">
        <w:rPr>
          <w:rFonts w:hint="eastAsia"/>
        </w:rPr>
        <w:t>原主航道橙黄</w:t>
      </w:r>
      <w:proofErr w:type="gramStart"/>
      <w:r w:rsidRPr="00594261">
        <w:rPr>
          <w:rFonts w:hint="eastAsia"/>
        </w:rPr>
        <w:t>带显著</w:t>
      </w:r>
      <w:proofErr w:type="gramEnd"/>
      <w:r w:rsidRPr="00594261">
        <w:rPr>
          <w:rFonts w:hint="eastAsia"/>
        </w:rPr>
        <w:t>褪色，最窄处接近背景色，通行量断崖下降；</w:t>
      </w:r>
      <w:r w:rsidRPr="00594261">
        <w:rPr>
          <w:rFonts w:hint="eastAsia"/>
        </w:rPr>
        <w:t>56.5</w:t>
      </w:r>
      <w:r w:rsidRPr="00594261">
        <w:rPr>
          <w:rFonts w:hint="eastAsia"/>
        </w:rPr>
        <w:t>°</w:t>
      </w:r>
      <w:r w:rsidRPr="00594261">
        <w:rPr>
          <w:rFonts w:hint="eastAsia"/>
        </w:rPr>
        <w:t>E</w:t>
      </w:r>
      <w:r w:rsidRPr="00594261">
        <w:rPr>
          <w:rFonts w:hint="eastAsia"/>
        </w:rPr>
        <w:t>附近仅见零星浅色斑点，为极少数冒险穿越。空间分布重构为“西留东等”：西侧波斯湾内部（</w:t>
      </w:r>
      <w:r w:rsidRPr="00594261">
        <w:rPr>
          <w:rFonts w:hint="eastAsia"/>
        </w:rPr>
        <w:t>54.5</w:t>
      </w:r>
      <w:r w:rsidRPr="00594261">
        <w:rPr>
          <w:rFonts w:hint="eastAsia"/>
        </w:rPr>
        <w:t>°</w:t>
      </w:r>
      <w:r w:rsidRPr="00594261">
        <w:rPr>
          <w:rFonts w:hint="eastAsia"/>
        </w:rPr>
        <w:t>E</w:t>
      </w:r>
      <w:r w:rsidRPr="00594261">
        <w:rPr>
          <w:rFonts w:hint="eastAsia"/>
        </w:rPr>
        <w:t>–</w:t>
      </w:r>
      <w:r w:rsidRPr="00594261">
        <w:rPr>
          <w:rFonts w:hint="eastAsia"/>
        </w:rPr>
        <w:t>55.5</w:t>
      </w:r>
      <w:r w:rsidRPr="00594261">
        <w:rPr>
          <w:rFonts w:hint="eastAsia"/>
        </w:rPr>
        <w:t>°</w:t>
      </w:r>
      <w:r w:rsidRPr="00594261">
        <w:rPr>
          <w:rFonts w:hint="eastAsia"/>
        </w:rPr>
        <w:t>E</w:t>
      </w:r>
      <w:r w:rsidRPr="00594261">
        <w:rPr>
          <w:rFonts w:hint="eastAsia"/>
        </w:rPr>
        <w:t>）仍维持可见密度，说明大量船舶滞留港内；东侧阿曼湾（</w:t>
      </w:r>
      <w:r w:rsidRPr="00594261">
        <w:rPr>
          <w:rFonts w:hint="eastAsia"/>
        </w:rPr>
        <w:t>57.5</w:t>
      </w:r>
      <w:r w:rsidRPr="00594261">
        <w:rPr>
          <w:rFonts w:hint="eastAsia"/>
        </w:rPr>
        <w:t>°</w:t>
      </w:r>
      <w:r w:rsidRPr="00594261">
        <w:rPr>
          <w:rFonts w:hint="eastAsia"/>
        </w:rPr>
        <w:t>E</w:t>
      </w:r>
      <w:r w:rsidRPr="00594261">
        <w:rPr>
          <w:rFonts w:hint="eastAsia"/>
        </w:rPr>
        <w:t>–</w:t>
      </w:r>
      <w:r w:rsidRPr="00594261">
        <w:rPr>
          <w:rFonts w:hint="eastAsia"/>
        </w:rPr>
        <w:t>58.0</w:t>
      </w:r>
      <w:r w:rsidRPr="00594261">
        <w:rPr>
          <w:rFonts w:hint="eastAsia"/>
        </w:rPr>
        <w:t>°</w:t>
      </w:r>
      <w:r w:rsidRPr="00594261">
        <w:rPr>
          <w:rFonts w:hint="eastAsia"/>
        </w:rPr>
        <w:t>E</w:t>
      </w:r>
      <w:r w:rsidRPr="00594261">
        <w:rPr>
          <w:rFonts w:hint="eastAsia"/>
        </w:rPr>
        <w:t>）出现分散浅色斑点，形成外围等待区。航速图大面积褪为浅绿</w:t>
      </w:r>
      <w:r w:rsidRPr="00594261">
        <w:rPr>
          <w:rFonts w:hint="eastAsia"/>
        </w:rPr>
        <w:t>/</w:t>
      </w:r>
      <w:r w:rsidRPr="00594261">
        <w:rPr>
          <w:rFonts w:hint="eastAsia"/>
        </w:rPr>
        <w:t>白色，整体航速下降；西侧出现深色零速斑点（锚泊），中央及东侧明显低速化，反映减速通过或漂航等待</w:t>
      </w:r>
      <w:r w:rsidR="00721154">
        <w:rPr>
          <w:rFonts w:hint="eastAsia"/>
        </w:rPr>
        <w:t>。</w:t>
      </w:r>
    </w:p>
    <w:p w14:paraId="046BD388" w14:textId="2094CC52" w:rsidR="004F4FAF" w:rsidRDefault="004F4FAF" w:rsidP="004F4FAF">
      <w:pPr>
        <w:pStyle w:val="3"/>
      </w:pPr>
      <w:r w:rsidRPr="004F4FAF">
        <w:rPr>
          <w:rFonts w:hint="eastAsia"/>
        </w:rPr>
        <w:t>3.</w:t>
      </w:r>
      <w:r w:rsidR="008310B7">
        <w:t>3</w:t>
      </w:r>
      <w:r w:rsidRPr="004F4FAF">
        <w:rPr>
          <w:rFonts w:hint="eastAsia"/>
        </w:rPr>
        <w:t xml:space="preserve"> </w:t>
      </w:r>
      <w:r w:rsidRPr="004F4FAF">
        <w:rPr>
          <w:rFonts w:hint="eastAsia"/>
        </w:rPr>
        <w:t>封锁前</w:t>
      </w:r>
      <w:r>
        <w:rPr>
          <w:rFonts w:hint="eastAsia"/>
        </w:rPr>
        <w:t>后</w:t>
      </w:r>
      <w:r w:rsidR="002E3875">
        <w:rPr>
          <w:rFonts w:hint="eastAsia"/>
        </w:rPr>
        <w:t>中东区域航运态势</w:t>
      </w:r>
    </w:p>
    <w:p w14:paraId="490E8C4A" w14:textId="51BB3851" w:rsidR="008310B7" w:rsidRDefault="008310B7" w:rsidP="008310B7">
      <w:pPr>
        <w:rPr>
          <w:rFonts w:hint="eastAsia"/>
        </w:rPr>
      </w:pPr>
      <w:r>
        <w:tab/>
      </w:r>
      <w:r w:rsidRPr="008310B7">
        <w:rPr>
          <w:rFonts w:hint="eastAsia"/>
          <w:b/>
          <w:bCs/>
        </w:rPr>
        <w:t>（</w:t>
      </w:r>
      <w:r w:rsidRPr="008310B7">
        <w:rPr>
          <w:rFonts w:hint="eastAsia"/>
          <w:b/>
          <w:bCs/>
        </w:rPr>
        <w:t>1</w:t>
      </w:r>
      <w:r w:rsidRPr="008310B7">
        <w:rPr>
          <w:rFonts w:hint="eastAsia"/>
          <w:b/>
          <w:bCs/>
        </w:rPr>
        <w:t>）主要航道受影响情况。</w:t>
      </w:r>
      <w:r w:rsidRPr="008310B7">
        <w:rPr>
          <w:rFonts w:hint="eastAsia"/>
          <w:b/>
          <w:bCs/>
        </w:rPr>
        <w:t xml:space="preserve"> </w:t>
      </w:r>
      <w:r>
        <w:rPr>
          <w:rFonts w:hint="eastAsia"/>
        </w:rPr>
        <w:t>霍尔木兹海峡常规状态下以中央主航道为核心，承担约</w:t>
      </w:r>
      <w:r>
        <w:rPr>
          <w:rFonts w:hint="eastAsia"/>
        </w:rPr>
        <w:t>60%</w:t>
      </w:r>
      <w:r>
        <w:rPr>
          <w:rFonts w:hint="eastAsia"/>
        </w:rPr>
        <w:t>–</w:t>
      </w:r>
      <w:r>
        <w:rPr>
          <w:rFonts w:hint="eastAsia"/>
        </w:rPr>
        <w:t>70%</w:t>
      </w:r>
      <w:r>
        <w:rPr>
          <w:rFonts w:hint="eastAsia"/>
        </w:rPr>
        <w:t>通行量，</w:t>
      </w:r>
      <w:r>
        <w:rPr>
          <w:rFonts w:hint="eastAsia"/>
        </w:rPr>
        <w:t>VLCC</w:t>
      </w:r>
      <w:r>
        <w:rPr>
          <w:rFonts w:hint="eastAsia"/>
        </w:rPr>
        <w:t>与</w:t>
      </w:r>
      <w:r>
        <w:rPr>
          <w:rFonts w:hint="eastAsia"/>
        </w:rPr>
        <w:t>LNG</w:t>
      </w:r>
      <w:r>
        <w:rPr>
          <w:rFonts w:hint="eastAsia"/>
        </w:rPr>
        <w:t>船因吃水限制高度依赖该通道；伊朗北部航道和阿曼南部航道为辅助通道，主要由中小型船舶使用。本次事件中，中央主航道受影响最为严重，通行量降幅达</w:t>
      </w:r>
      <w:r>
        <w:rPr>
          <w:rFonts w:hint="eastAsia"/>
        </w:rPr>
        <w:t>95%</w:t>
      </w:r>
      <w:r>
        <w:rPr>
          <w:rFonts w:hint="eastAsia"/>
        </w:rPr>
        <w:t>以上，辅助通道因同样面临安全风险也基本停用。</w:t>
      </w:r>
    </w:p>
    <w:p w14:paraId="4E28D018" w14:textId="275B205E" w:rsidR="008310B7" w:rsidRDefault="008310B7" w:rsidP="008310B7">
      <w:pPr>
        <w:rPr>
          <w:rFonts w:hint="eastAsia"/>
        </w:rPr>
      </w:pPr>
      <w:r>
        <w:tab/>
      </w:r>
      <w:r w:rsidRPr="008310B7">
        <w:rPr>
          <w:rFonts w:hint="eastAsia"/>
          <w:b/>
          <w:bCs/>
        </w:rPr>
        <w:t>（</w:t>
      </w:r>
      <w:r w:rsidRPr="008310B7">
        <w:rPr>
          <w:rFonts w:hint="eastAsia"/>
          <w:b/>
          <w:bCs/>
        </w:rPr>
        <w:t>2</w:t>
      </w:r>
      <w:r w:rsidRPr="008310B7">
        <w:rPr>
          <w:rFonts w:hint="eastAsia"/>
          <w:b/>
          <w:bCs/>
        </w:rPr>
        <w:t>）滞留船只集中区域。</w:t>
      </w:r>
      <w:r w:rsidRPr="008310B7">
        <w:rPr>
          <w:rFonts w:hint="eastAsia"/>
          <w:b/>
          <w:bCs/>
        </w:rPr>
        <w:t xml:space="preserve"> </w:t>
      </w:r>
      <w:r>
        <w:rPr>
          <w:rFonts w:hint="eastAsia"/>
        </w:rPr>
        <w:t>滞留区域主要集中于三类位置：一是波斯湾内部能源出口港附近，包括沙特拉斯坦努拉港、卡塔尔拉斯拉凡港和阿联酋霍尔法坎港周边，船舶因装货完成但无法安全离港而滞留；二是阿曼湾外围等待区，位于富查伊拉港以东海域，大量船舶在此漂航等待安全形势变化；三是港口锚泊区，部分船舶直接停靠锚地等待进一步指令。</w:t>
      </w:r>
    </w:p>
    <w:p w14:paraId="7D84FF97" w14:textId="7F80F8E5" w:rsidR="004F4FAF" w:rsidRPr="008310B7" w:rsidRDefault="008310B7" w:rsidP="008310B7">
      <w:r>
        <w:tab/>
      </w:r>
      <w:r w:rsidRPr="008310B7">
        <w:rPr>
          <w:rFonts w:hint="eastAsia"/>
          <w:b/>
          <w:bCs/>
        </w:rPr>
        <w:t>（</w:t>
      </w:r>
      <w:r w:rsidRPr="008310B7">
        <w:rPr>
          <w:rFonts w:hint="eastAsia"/>
          <w:b/>
          <w:bCs/>
        </w:rPr>
        <w:t>3</w:t>
      </w:r>
      <w:r w:rsidRPr="008310B7">
        <w:rPr>
          <w:rFonts w:hint="eastAsia"/>
          <w:b/>
          <w:bCs/>
        </w:rPr>
        <w:t>）受袭船只分布带。</w:t>
      </w:r>
      <w:r>
        <w:rPr>
          <w:rFonts w:hint="eastAsia"/>
        </w:rPr>
        <w:t xml:space="preserve"> </w:t>
      </w:r>
      <w:r>
        <w:rPr>
          <w:rFonts w:hint="eastAsia"/>
        </w:rPr>
        <w:t>受袭船只主要分布于中央主航道核心段（</w:t>
      </w:r>
      <w:r>
        <w:rPr>
          <w:rFonts w:hint="eastAsia"/>
        </w:rPr>
        <w:t>56.0</w:t>
      </w:r>
      <w:r>
        <w:rPr>
          <w:rFonts w:hint="eastAsia"/>
        </w:rPr>
        <w:t>°</w:t>
      </w:r>
      <w:r>
        <w:rPr>
          <w:rFonts w:hint="eastAsia"/>
        </w:rPr>
        <w:t>E</w:t>
      </w:r>
      <w:r>
        <w:rPr>
          <w:rFonts w:hint="eastAsia"/>
        </w:rPr>
        <w:t>–</w:t>
      </w:r>
      <w:r>
        <w:rPr>
          <w:rFonts w:hint="eastAsia"/>
        </w:rPr>
        <w:t>57.0</w:t>
      </w:r>
      <w:r>
        <w:rPr>
          <w:rFonts w:hint="eastAsia"/>
        </w:rPr>
        <w:t>°</w:t>
      </w:r>
      <w:r>
        <w:rPr>
          <w:rFonts w:hint="eastAsia"/>
        </w:rPr>
        <w:t>E</w:t>
      </w:r>
      <w:r>
        <w:rPr>
          <w:rFonts w:hint="eastAsia"/>
        </w:rPr>
        <w:t>），呈东北—西南走向线状分布；其次为伊朗领海北侧边缘带，靠近军事对峙前沿；海峡入口</w:t>
      </w:r>
      <w:r>
        <w:rPr>
          <w:rFonts w:hint="eastAsia"/>
        </w:rPr>
        <w:t>/</w:t>
      </w:r>
      <w:r>
        <w:rPr>
          <w:rFonts w:hint="eastAsia"/>
        </w:rPr>
        <w:t>出口过渡区亦为高风险边界。此外，部分</w:t>
      </w:r>
      <w:r w:rsidR="00FC6E47">
        <w:rPr>
          <w:rFonts w:hint="eastAsia"/>
        </w:rPr>
        <w:t>“</w:t>
      </w:r>
      <w:r>
        <w:rPr>
          <w:rFonts w:hint="eastAsia"/>
        </w:rPr>
        <w:t>影子船队</w:t>
      </w:r>
      <w:r w:rsidR="00FC6E47">
        <w:rPr>
          <w:rFonts w:hint="eastAsia"/>
        </w:rPr>
        <w:t>”</w:t>
      </w:r>
      <w:r>
        <w:rPr>
          <w:rFonts w:hint="eastAsia"/>
        </w:rPr>
        <w:t>船舶关闭</w:t>
      </w:r>
      <w:r>
        <w:rPr>
          <w:rFonts w:hint="eastAsia"/>
        </w:rPr>
        <w:t>AIS</w:t>
      </w:r>
      <w:r>
        <w:rPr>
          <w:rFonts w:hint="eastAsia"/>
        </w:rPr>
        <w:t>信号穿越上述区域，实际风险分布可能比观测数据更广。</w:t>
      </w:r>
    </w:p>
    <w:p w14:paraId="63D9E987" w14:textId="1EBDBD8A" w:rsidR="00FC6E47" w:rsidRDefault="00FC6E47" w:rsidP="00FC6E47">
      <w:pPr>
        <w:pStyle w:val="3"/>
      </w:pPr>
      <w:r w:rsidRPr="004F4FAF">
        <w:rPr>
          <w:rFonts w:hint="eastAsia"/>
        </w:rPr>
        <w:lastRenderedPageBreak/>
        <w:t>3.</w:t>
      </w:r>
      <w:r>
        <w:t>4</w:t>
      </w:r>
      <w:r w:rsidRPr="004F4FAF">
        <w:rPr>
          <w:rFonts w:hint="eastAsia"/>
        </w:rPr>
        <w:t xml:space="preserve"> </w:t>
      </w:r>
      <w:r w:rsidRPr="004F4FAF">
        <w:rPr>
          <w:rFonts w:hint="eastAsia"/>
        </w:rPr>
        <w:t>封锁前</w:t>
      </w:r>
      <w:r>
        <w:rPr>
          <w:rFonts w:hint="eastAsia"/>
        </w:rPr>
        <w:t>后</w:t>
      </w:r>
      <w:r>
        <w:rPr>
          <w:rFonts w:hint="eastAsia"/>
        </w:rPr>
        <w:t>能源运力</w:t>
      </w:r>
      <w:r w:rsidRPr="004F4FAF">
        <w:rPr>
          <w:rFonts w:hint="eastAsia"/>
        </w:rPr>
        <w:t>分布</w:t>
      </w:r>
    </w:p>
    <w:p w14:paraId="0235E4AA" w14:textId="36BD5883" w:rsidR="00432A03" w:rsidRDefault="00FC6E47" w:rsidP="00FC6E47">
      <w:pPr>
        <w:jc w:val="center"/>
        <w:rPr>
          <w:noProof/>
        </w:rPr>
      </w:pPr>
      <w:r>
        <w:rPr>
          <w:rFonts w:ascii="inherit" w:hAnsi="inherit" w:cs="Segoe UI" w:hint="eastAsia"/>
          <w:kern w:val="0"/>
          <w:sz w:val="18"/>
          <w:szCs w:val="18"/>
        </w:rPr>
        <w:t>左上：</w:t>
      </w:r>
      <w:r>
        <w:rPr>
          <w:rFonts w:ascii="inherit" w:hAnsi="inherit" w:cs="Segoe UI"/>
          <w:kern w:val="0"/>
          <w:sz w:val="18"/>
          <w:szCs w:val="18"/>
        </w:rPr>
        <w:t>2025</w:t>
      </w:r>
      <w:r>
        <w:rPr>
          <w:rFonts w:ascii="inherit" w:hAnsi="inherit" w:cs="Segoe UI" w:hint="eastAsia"/>
          <w:kern w:val="0"/>
          <w:sz w:val="18"/>
          <w:szCs w:val="18"/>
        </w:rPr>
        <w:t>年封锁前</w:t>
      </w:r>
      <w:r>
        <w:rPr>
          <w:rFonts w:ascii="inherit" w:hAnsi="inherit" w:cs="Segoe UI" w:hint="eastAsia"/>
          <w:kern w:val="0"/>
          <w:sz w:val="18"/>
          <w:szCs w:val="18"/>
        </w:rPr>
        <w:t>油轮运力分布</w:t>
      </w:r>
      <w:r>
        <w:rPr>
          <w:rFonts w:hint="eastAsia"/>
          <w:sz w:val="18"/>
          <w:szCs w:val="18"/>
        </w:rPr>
        <w:t>；</w:t>
      </w:r>
      <w:r>
        <w:rPr>
          <w:rFonts w:ascii="inherit" w:hAnsi="inherit" w:cs="Segoe UI" w:hint="eastAsia"/>
          <w:kern w:val="0"/>
          <w:sz w:val="18"/>
          <w:szCs w:val="18"/>
        </w:rPr>
        <w:t>右上：</w:t>
      </w:r>
      <w:r>
        <w:rPr>
          <w:rFonts w:ascii="inherit" w:hAnsi="inherit" w:cs="Segoe UI"/>
          <w:kern w:val="0"/>
          <w:sz w:val="18"/>
          <w:szCs w:val="18"/>
        </w:rPr>
        <w:t>2025</w:t>
      </w:r>
      <w:r>
        <w:rPr>
          <w:rFonts w:ascii="inherit" w:hAnsi="inherit" w:cs="Segoe UI" w:hint="eastAsia"/>
          <w:kern w:val="0"/>
          <w:sz w:val="18"/>
          <w:szCs w:val="18"/>
        </w:rPr>
        <w:t>年封锁前</w:t>
      </w:r>
      <w:r>
        <w:rPr>
          <w:rFonts w:ascii="inherit" w:hAnsi="inherit" w:cs="Segoe UI" w:hint="eastAsia"/>
          <w:kern w:val="0"/>
          <w:sz w:val="18"/>
          <w:szCs w:val="18"/>
        </w:rPr>
        <w:t>LNG</w:t>
      </w:r>
      <w:r>
        <w:rPr>
          <w:rFonts w:ascii="inherit" w:hAnsi="inherit" w:cs="Segoe UI" w:hint="eastAsia"/>
          <w:kern w:val="0"/>
          <w:sz w:val="18"/>
          <w:szCs w:val="18"/>
        </w:rPr>
        <w:t>船运力分布</w:t>
      </w:r>
      <w:r>
        <w:rPr>
          <w:noProof/>
        </w:rPr>
        <w:drawing>
          <wp:anchor distT="0" distB="0" distL="114300" distR="114300" simplePos="0" relativeHeight="251660288" behindDoc="0" locked="0" layoutInCell="1" allowOverlap="1" wp14:anchorId="7461F026" wp14:editId="76229ADA">
            <wp:simplePos x="0" y="0"/>
            <wp:positionH relativeFrom="column">
              <wp:align>center</wp:align>
            </wp:positionH>
            <wp:positionV relativeFrom="paragraph">
              <wp:posOffset>-180340</wp:posOffset>
            </wp:positionV>
            <wp:extent cx="3240000" cy="324000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37BD97" w14:textId="7DFAE945" w:rsidR="00FC6E47" w:rsidRDefault="00FC6E47" w:rsidP="00FC6E47">
      <w:pPr>
        <w:jc w:val="center"/>
        <w:rPr>
          <w:rFonts w:ascii="inherit" w:hAnsi="inherit" w:cs="Segoe UI"/>
          <w:kern w:val="0"/>
          <w:sz w:val="18"/>
          <w:szCs w:val="18"/>
        </w:rPr>
      </w:pPr>
      <w:r>
        <w:rPr>
          <w:rFonts w:ascii="inherit" w:hAnsi="inherit" w:cs="Segoe UI" w:hint="eastAsia"/>
          <w:kern w:val="0"/>
          <w:sz w:val="18"/>
          <w:szCs w:val="18"/>
        </w:rPr>
        <w:t>左上：</w:t>
      </w:r>
      <w:r>
        <w:rPr>
          <w:rFonts w:ascii="inherit" w:hAnsi="inherit" w:cs="Segoe UI"/>
          <w:kern w:val="0"/>
          <w:sz w:val="18"/>
          <w:szCs w:val="18"/>
        </w:rPr>
        <w:t>202</w:t>
      </w:r>
      <w:r>
        <w:rPr>
          <w:rFonts w:ascii="inherit" w:hAnsi="inherit" w:cs="Segoe UI"/>
          <w:kern w:val="0"/>
          <w:sz w:val="18"/>
          <w:szCs w:val="18"/>
        </w:rPr>
        <w:t>6</w:t>
      </w:r>
      <w:r>
        <w:rPr>
          <w:rFonts w:ascii="inherit" w:hAnsi="inherit" w:cs="Segoe UI" w:hint="eastAsia"/>
          <w:kern w:val="0"/>
          <w:sz w:val="18"/>
          <w:szCs w:val="18"/>
        </w:rPr>
        <w:t>年封锁前油轮运力分布</w:t>
      </w:r>
      <w:r>
        <w:rPr>
          <w:rFonts w:hint="eastAsia"/>
          <w:sz w:val="18"/>
          <w:szCs w:val="18"/>
        </w:rPr>
        <w:t>；</w:t>
      </w:r>
      <w:r>
        <w:rPr>
          <w:rFonts w:ascii="inherit" w:hAnsi="inherit" w:cs="Segoe UI" w:hint="eastAsia"/>
          <w:kern w:val="0"/>
          <w:sz w:val="18"/>
          <w:szCs w:val="18"/>
        </w:rPr>
        <w:t>右上：</w:t>
      </w:r>
      <w:r>
        <w:rPr>
          <w:rFonts w:ascii="inherit" w:hAnsi="inherit" w:cs="Segoe UI"/>
          <w:kern w:val="0"/>
          <w:sz w:val="18"/>
          <w:szCs w:val="18"/>
        </w:rPr>
        <w:t>202</w:t>
      </w:r>
      <w:r>
        <w:rPr>
          <w:rFonts w:ascii="inherit" w:hAnsi="inherit" w:cs="Segoe UI"/>
          <w:kern w:val="0"/>
          <w:sz w:val="18"/>
          <w:szCs w:val="18"/>
        </w:rPr>
        <w:t>6</w:t>
      </w:r>
      <w:r>
        <w:rPr>
          <w:rFonts w:ascii="inherit" w:hAnsi="inherit" w:cs="Segoe UI" w:hint="eastAsia"/>
          <w:kern w:val="0"/>
          <w:sz w:val="18"/>
          <w:szCs w:val="18"/>
        </w:rPr>
        <w:t>年封锁前</w:t>
      </w:r>
      <w:r>
        <w:rPr>
          <w:rFonts w:ascii="inherit" w:hAnsi="inherit" w:cs="Segoe UI" w:hint="eastAsia"/>
          <w:kern w:val="0"/>
          <w:sz w:val="18"/>
          <w:szCs w:val="18"/>
        </w:rPr>
        <w:t>LNG</w:t>
      </w:r>
      <w:r>
        <w:rPr>
          <w:rFonts w:ascii="inherit" w:hAnsi="inherit" w:cs="Segoe UI" w:hint="eastAsia"/>
          <w:kern w:val="0"/>
          <w:sz w:val="18"/>
          <w:szCs w:val="18"/>
        </w:rPr>
        <w:t>船运力分布</w:t>
      </w:r>
    </w:p>
    <w:p w14:paraId="6A2072B3" w14:textId="3F6E0EA7" w:rsidR="0077760B" w:rsidRPr="0077760B" w:rsidRDefault="00FC6E47" w:rsidP="00FC6E47">
      <w:pPr>
        <w:rPr>
          <w:rFonts w:hint="eastAsia"/>
        </w:rPr>
      </w:pPr>
      <w:r>
        <w:tab/>
      </w:r>
      <w:r w:rsidR="0077760B" w:rsidRPr="0077760B">
        <w:rPr>
          <w:rFonts w:hint="eastAsia"/>
        </w:rPr>
        <w:t>从四象限热力图可见，封锁前后能源运力呈现</w:t>
      </w:r>
      <w:r w:rsidR="0077760B">
        <w:rPr>
          <w:rFonts w:hint="eastAsia"/>
        </w:rPr>
        <w:t>“</w:t>
      </w:r>
      <w:r w:rsidR="0077760B" w:rsidRPr="0077760B">
        <w:rPr>
          <w:rFonts w:hint="eastAsia"/>
        </w:rPr>
        <w:t>主航道清空、能源港滞留</w:t>
      </w:r>
      <w:r w:rsidR="0077760B">
        <w:rPr>
          <w:rFonts w:hint="eastAsia"/>
        </w:rPr>
        <w:t>”</w:t>
      </w:r>
      <w:r w:rsidR="0077760B" w:rsidRPr="0077760B">
        <w:rPr>
          <w:rFonts w:hint="eastAsia"/>
        </w:rPr>
        <w:t>的显著分化。</w:t>
      </w:r>
    </w:p>
    <w:p w14:paraId="442D42A9" w14:textId="11F9C2DE" w:rsidR="00FC6E47" w:rsidRPr="00FC6E47" w:rsidRDefault="0077760B" w:rsidP="00FC6E47">
      <w:pPr>
        <w:rPr>
          <w:rFonts w:hint="eastAsia"/>
          <w:szCs w:val="24"/>
        </w:rPr>
      </w:pPr>
      <w:r>
        <w:rPr>
          <w:b/>
          <w:bCs/>
          <w:szCs w:val="24"/>
        </w:rPr>
        <w:tab/>
      </w:r>
      <w:r w:rsidR="00FC6E47" w:rsidRPr="00FC6E47">
        <w:rPr>
          <w:rFonts w:hint="eastAsia"/>
          <w:b/>
          <w:bCs/>
          <w:szCs w:val="24"/>
        </w:rPr>
        <w:t>封锁前（</w:t>
      </w:r>
      <w:r w:rsidR="00FC6E47" w:rsidRPr="00FC6E47">
        <w:rPr>
          <w:rFonts w:hint="eastAsia"/>
          <w:b/>
          <w:bCs/>
          <w:szCs w:val="24"/>
        </w:rPr>
        <w:t>2025</w:t>
      </w:r>
      <w:r w:rsidR="00FC6E47" w:rsidRPr="00FC6E47">
        <w:rPr>
          <w:rFonts w:hint="eastAsia"/>
          <w:b/>
          <w:bCs/>
          <w:szCs w:val="24"/>
        </w:rPr>
        <w:t>年）：</w:t>
      </w:r>
      <w:r w:rsidR="00992998" w:rsidRPr="00992998">
        <w:rPr>
          <w:rFonts w:hint="eastAsia"/>
          <w:szCs w:val="24"/>
        </w:rPr>
        <w:t>油轮与</w:t>
      </w:r>
      <w:r w:rsidR="00992998" w:rsidRPr="00992998">
        <w:rPr>
          <w:rFonts w:hint="eastAsia"/>
          <w:szCs w:val="24"/>
        </w:rPr>
        <w:t>LNG</w:t>
      </w:r>
      <w:r w:rsidR="00992998" w:rsidRPr="00992998">
        <w:rPr>
          <w:rFonts w:hint="eastAsia"/>
          <w:szCs w:val="24"/>
        </w:rPr>
        <w:t>运力均高度集中于海峡最窄处（约</w:t>
      </w:r>
      <w:r w:rsidR="00992998" w:rsidRPr="00992998">
        <w:rPr>
          <w:rFonts w:hint="eastAsia"/>
          <w:szCs w:val="24"/>
        </w:rPr>
        <w:t>56.0</w:t>
      </w:r>
      <w:r w:rsidR="00992998" w:rsidRPr="00992998">
        <w:rPr>
          <w:rFonts w:hint="eastAsia"/>
          <w:szCs w:val="24"/>
        </w:rPr>
        <w:t>°</w:t>
      </w:r>
      <w:r w:rsidR="00992998" w:rsidRPr="00992998">
        <w:rPr>
          <w:rFonts w:hint="eastAsia"/>
          <w:szCs w:val="24"/>
        </w:rPr>
        <w:t>E</w:t>
      </w:r>
      <w:r w:rsidR="00992998" w:rsidRPr="00992998">
        <w:rPr>
          <w:rFonts w:hint="eastAsia"/>
          <w:szCs w:val="24"/>
        </w:rPr>
        <w:t>–</w:t>
      </w:r>
      <w:r w:rsidR="00992998" w:rsidRPr="00992998">
        <w:rPr>
          <w:rFonts w:hint="eastAsia"/>
          <w:szCs w:val="24"/>
        </w:rPr>
        <w:t>56.5</w:t>
      </w:r>
      <w:r w:rsidR="00992998" w:rsidRPr="00992998">
        <w:rPr>
          <w:rFonts w:hint="eastAsia"/>
          <w:szCs w:val="24"/>
        </w:rPr>
        <w:t>°</w:t>
      </w:r>
      <w:r w:rsidR="00992998" w:rsidRPr="00992998">
        <w:rPr>
          <w:rFonts w:hint="eastAsia"/>
          <w:szCs w:val="24"/>
        </w:rPr>
        <w:t>E</w:t>
      </w:r>
      <w:r w:rsidR="00992998" w:rsidRPr="00992998">
        <w:rPr>
          <w:rFonts w:hint="eastAsia"/>
          <w:szCs w:val="24"/>
        </w:rPr>
        <w:t>），呈东北—西南向贯通波斯湾与阿曼湾，印证能源船舶对单一瓶颈通道的高度依赖。波斯湾内部西侧（</w:t>
      </w:r>
      <w:r w:rsidR="00992998" w:rsidRPr="00992998">
        <w:rPr>
          <w:rFonts w:hint="eastAsia"/>
          <w:szCs w:val="24"/>
        </w:rPr>
        <w:t>54.5</w:t>
      </w:r>
      <w:r w:rsidR="00992998" w:rsidRPr="00992998">
        <w:rPr>
          <w:rFonts w:hint="eastAsia"/>
          <w:szCs w:val="24"/>
        </w:rPr>
        <w:t>°</w:t>
      </w:r>
      <w:r w:rsidR="00992998" w:rsidRPr="00992998">
        <w:rPr>
          <w:rFonts w:hint="eastAsia"/>
          <w:szCs w:val="24"/>
        </w:rPr>
        <w:t>E</w:t>
      </w:r>
      <w:r w:rsidR="00992998" w:rsidRPr="00992998">
        <w:rPr>
          <w:rFonts w:hint="eastAsia"/>
          <w:szCs w:val="24"/>
        </w:rPr>
        <w:t>–</w:t>
      </w:r>
      <w:r w:rsidR="00992998" w:rsidRPr="00992998">
        <w:rPr>
          <w:rFonts w:hint="eastAsia"/>
          <w:szCs w:val="24"/>
        </w:rPr>
        <w:t>55.5</w:t>
      </w:r>
      <w:r w:rsidR="00992998" w:rsidRPr="00992998">
        <w:rPr>
          <w:rFonts w:hint="eastAsia"/>
          <w:szCs w:val="24"/>
        </w:rPr>
        <w:t>°</w:t>
      </w:r>
      <w:r w:rsidR="00992998" w:rsidRPr="00992998">
        <w:rPr>
          <w:rFonts w:hint="eastAsia"/>
          <w:szCs w:val="24"/>
        </w:rPr>
        <w:t>E</w:t>
      </w:r>
      <w:r w:rsidR="00992998" w:rsidRPr="00992998">
        <w:rPr>
          <w:rFonts w:hint="eastAsia"/>
          <w:szCs w:val="24"/>
        </w:rPr>
        <w:t>）出现次级热点，对应沙特拉斯坦努拉、卡塔尔拉斯拉凡等能源装货港，形成“港内装货—航道通行”的紧凑链条</w:t>
      </w:r>
      <w:r w:rsidR="00FC6E47" w:rsidRPr="00FC6E47">
        <w:rPr>
          <w:rFonts w:hint="eastAsia"/>
          <w:szCs w:val="24"/>
        </w:rPr>
        <w:t>。</w:t>
      </w:r>
    </w:p>
    <w:p w14:paraId="1763213E" w14:textId="4A4152D8" w:rsidR="00FC6E47" w:rsidRPr="00FC6E47" w:rsidRDefault="00FC6E47" w:rsidP="00FC6E47">
      <w:pPr>
        <w:rPr>
          <w:rFonts w:hint="eastAsia"/>
          <w:szCs w:val="24"/>
        </w:rPr>
      </w:pPr>
      <w:r w:rsidRPr="00FC6E47">
        <w:rPr>
          <w:szCs w:val="24"/>
        </w:rPr>
        <w:tab/>
      </w:r>
      <w:r w:rsidRPr="00FC6E47">
        <w:rPr>
          <w:rFonts w:hint="eastAsia"/>
          <w:b/>
          <w:bCs/>
          <w:szCs w:val="24"/>
        </w:rPr>
        <w:t>封锁后（</w:t>
      </w:r>
      <w:r w:rsidRPr="00FC6E47">
        <w:rPr>
          <w:rFonts w:hint="eastAsia"/>
          <w:b/>
          <w:bCs/>
          <w:szCs w:val="24"/>
        </w:rPr>
        <w:t>2026</w:t>
      </w:r>
      <w:r w:rsidRPr="00FC6E47">
        <w:rPr>
          <w:rFonts w:hint="eastAsia"/>
          <w:b/>
          <w:bCs/>
          <w:szCs w:val="24"/>
        </w:rPr>
        <w:t>年）：</w:t>
      </w:r>
      <w:r w:rsidR="00992998" w:rsidRPr="00992998">
        <w:rPr>
          <w:rFonts w:hint="eastAsia"/>
          <w:szCs w:val="24"/>
        </w:rPr>
        <w:t>油轮与</w:t>
      </w:r>
      <w:r w:rsidR="00992998" w:rsidRPr="00992998">
        <w:rPr>
          <w:rFonts w:hint="eastAsia"/>
          <w:szCs w:val="24"/>
        </w:rPr>
        <w:t>LNG</w:t>
      </w:r>
      <w:r w:rsidR="00992998" w:rsidRPr="00992998">
        <w:rPr>
          <w:rFonts w:hint="eastAsia"/>
          <w:szCs w:val="24"/>
        </w:rPr>
        <w:t>主航道高密度带几乎同步褪色，通行功能丧失。但波斯湾内部西侧仍保留可见浅色斑块（油轮）与蓝色斑点（</w:t>
      </w:r>
      <w:r w:rsidR="00992998" w:rsidRPr="00992998">
        <w:rPr>
          <w:rFonts w:hint="eastAsia"/>
          <w:szCs w:val="24"/>
        </w:rPr>
        <w:t>LNG</w:t>
      </w:r>
      <w:r w:rsidR="00992998" w:rsidRPr="00992998">
        <w:rPr>
          <w:rFonts w:hint="eastAsia"/>
          <w:szCs w:val="24"/>
        </w:rPr>
        <w:t>），且颜色显著深于东侧，说明大量能源船舶滞留装货</w:t>
      </w:r>
      <w:proofErr w:type="gramStart"/>
      <w:r w:rsidR="00992998" w:rsidRPr="00992998">
        <w:rPr>
          <w:rFonts w:hint="eastAsia"/>
          <w:szCs w:val="24"/>
        </w:rPr>
        <w:t>港未能</w:t>
      </w:r>
      <w:proofErr w:type="gramEnd"/>
      <w:r w:rsidR="00992998" w:rsidRPr="00992998">
        <w:rPr>
          <w:rFonts w:hint="eastAsia"/>
          <w:szCs w:val="24"/>
        </w:rPr>
        <w:t>离港。阿曼湾（</w:t>
      </w:r>
      <w:r w:rsidR="00992998" w:rsidRPr="00992998">
        <w:rPr>
          <w:rFonts w:hint="eastAsia"/>
          <w:szCs w:val="24"/>
        </w:rPr>
        <w:t>57</w:t>
      </w:r>
      <w:r w:rsidR="00992998" w:rsidRPr="00992998">
        <w:rPr>
          <w:rFonts w:hint="eastAsia"/>
          <w:szCs w:val="24"/>
        </w:rPr>
        <w:t>°</w:t>
      </w:r>
      <w:r w:rsidR="00992998" w:rsidRPr="00992998">
        <w:rPr>
          <w:rFonts w:hint="eastAsia"/>
          <w:szCs w:val="24"/>
        </w:rPr>
        <w:t>E</w:t>
      </w:r>
      <w:r w:rsidR="00992998" w:rsidRPr="00992998">
        <w:rPr>
          <w:rFonts w:hint="eastAsia"/>
          <w:szCs w:val="24"/>
        </w:rPr>
        <w:t>以东）仅余零散浅点，形成外围等待区。</w:t>
      </w:r>
    </w:p>
    <w:p w14:paraId="72C4113F" w14:textId="099D7F1A" w:rsidR="00FC6E47" w:rsidRPr="00FC6E47" w:rsidRDefault="00FC6E47" w:rsidP="00FC6E47">
      <w:pPr>
        <w:rPr>
          <w:rFonts w:hint="eastAsia"/>
          <w:szCs w:val="24"/>
        </w:rPr>
      </w:pPr>
      <w:r w:rsidRPr="00FC6E47">
        <w:rPr>
          <w:szCs w:val="24"/>
        </w:rPr>
        <w:tab/>
      </w:r>
      <w:r w:rsidRPr="00FC6E47">
        <w:rPr>
          <w:rFonts w:hint="eastAsia"/>
          <w:szCs w:val="24"/>
        </w:rPr>
        <w:t>能源运力热力图直接验证了</w:t>
      </w:r>
      <w:r w:rsidR="007653F1">
        <w:rPr>
          <w:rFonts w:hint="eastAsia"/>
          <w:szCs w:val="24"/>
        </w:rPr>
        <w:t>“</w:t>
      </w:r>
      <w:r w:rsidRPr="00FC6E47">
        <w:rPr>
          <w:rFonts w:hint="eastAsia"/>
          <w:szCs w:val="24"/>
        </w:rPr>
        <w:t>行为封锁</w:t>
      </w:r>
      <w:r w:rsidR="007653F1">
        <w:rPr>
          <w:rFonts w:hint="eastAsia"/>
          <w:szCs w:val="24"/>
        </w:rPr>
        <w:t>”</w:t>
      </w:r>
      <w:r w:rsidRPr="00FC6E47">
        <w:rPr>
          <w:rFonts w:hint="eastAsia"/>
          <w:szCs w:val="24"/>
        </w:rPr>
        <w:t>本质——物理航道未完全阻断，但能源船舶主动规避导致主航道功能丧失，装货港转化为滞留仓库，外围海域沦为等待缓冲区。</w:t>
      </w:r>
    </w:p>
    <w:p w14:paraId="4346637A" w14:textId="7E6325E5" w:rsidR="00432A03" w:rsidRDefault="00432A03">
      <w:pPr>
        <w:widowControl/>
        <w:spacing w:line="240" w:lineRule="auto"/>
        <w:jc w:val="left"/>
      </w:pPr>
      <w:r>
        <w:br w:type="page"/>
      </w:r>
    </w:p>
    <w:p w14:paraId="4ABDB9B2" w14:textId="77777777" w:rsidR="00432A03" w:rsidRPr="00432A03" w:rsidRDefault="00432A03" w:rsidP="000F1A81">
      <w:pPr>
        <w:pStyle w:val="2"/>
      </w:pPr>
      <w:r w:rsidRPr="00432A03">
        <w:lastRenderedPageBreak/>
        <w:t>四、封锁冲击与交通流崩塌</w:t>
      </w:r>
    </w:p>
    <w:p w14:paraId="3CB1B595" w14:textId="68D75E28" w:rsidR="00432A03" w:rsidRDefault="00432A03" w:rsidP="00432A03">
      <w:pPr>
        <w:pStyle w:val="3"/>
      </w:pPr>
      <w:r w:rsidRPr="00432A03">
        <w:rPr>
          <w:rFonts w:hint="eastAsia"/>
        </w:rPr>
        <w:t xml:space="preserve">4.1 </w:t>
      </w:r>
      <w:r w:rsidRPr="00432A03">
        <w:rPr>
          <w:rFonts w:hint="eastAsia"/>
        </w:rPr>
        <w:t>通行量断崖式下降</w:t>
      </w:r>
    </w:p>
    <w:p w14:paraId="294409B0" w14:textId="36ACE348" w:rsidR="00432A03" w:rsidRDefault="007653F1" w:rsidP="00432A03">
      <w:pPr>
        <w:rPr>
          <w:rFonts w:ascii="Helvetica" w:hAnsi="Helvetica" w:cs="Helvetica"/>
          <w:color w:val="333333"/>
          <w:shd w:val="clear" w:color="auto" w:fill="FFFFFF"/>
        </w:rPr>
      </w:pPr>
      <w:r>
        <w:rPr>
          <w:rFonts w:ascii="Helvetica" w:hAnsi="Helvetica" w:cs="Helvetica"/>
          <w:color w:val="333333"/>
          <w:shd w:val="clear" w:color="auto" w:fill="FFFFFF"/>
        </w:rPr>
        <w:tab/>
      </w:r>
      <w:r w:rsidR="00116563" w:rsidRPr="00116563">
        <w:rPr>
          <w:rFonts w:ascii="Helvetica" w:hAnsi="Helvetica" w:cs="Helvetica" w:hint="eastAsia"/>
          <w:color w:val="333333"/>
          <w:shd w:val="clear" w:color="auto" w:fill="FFFFFF"/>
        </w:rPr>
        <w:t>军事冲突爆发后，霍尔木兹海峡通行量呈现断崖式下跌。基于</w:t>
      </w:r>
      <w:r w:rsidR="00116563" w:rsidRPr="00116563">
        <w:rPr>
          <w:rFonts w:ascii="Helvetica" w:hAnsi="Helvetica" w:cs="Helvetica" w:hint="eastAsia"/>
          <w:color w:val="333333"/>
          <w:shd w:val="clear" w:color="auto" w:fill="FFFFFF"/>
        </w:rPr>
        <w:t>PortWatch</w:t>
      </w:r>
      <w:r w:rsidR="00116563" w:rsidRPr="00116563">
        <w:rPr>
          <w:rFonts w:ascii="Helvetica" w:hAnsi="Helvetica" w:cs="Helvetica" w:hint="eastAsia"/>
          <w:color w:val="333333"/>
          <w:shd w:val="clear" w:color="auto" w:fill="FFFFFF"/>
        </w:rPr>
        <w:t>发布的</w:t>
      </w:r>
      <w:r w:rsidR="00116563" w:rsidRPr="00116563">
        <w:rPr>
          <w:rFonts w:ascii="Helvetica" w:hAnsi="Helvetica" w:cs="Helvetica" w:hint="eastAsia"/>
          <w:color w:val="333333"/>
          <w:shd w:val="clear" w:color="auto" w:fill="FFFFFF"/>
        </w:rPr>
        <w:t>AIS</w:t>
      </w:r>
      <w:r w:rsidR="00116563" w:rsidRPr="00116563">
        <w:rPr>
          <w:rFonts w:ascii="Helvetica" w:hAnsi="Helvetica" w:cs="Helvetica" w:hint="eastAsia"/>
          <w:color w:val="333333"/>
          <w:shd w:val="clear" w:color="auto" w:fill="FFFFFF"/>
        </w:rPr>
        <w:t>独立追踪数据与贸易量数据的交叉验证，海峡航运活动在</w:t>
      </w:r>
      <w:r w:rsidR="00116563" w:rsidRPr="00116563">
        <w:rPr>
          <w:rFonts w:ascii="Helvetica" w:hAnsi="Helvetica" w:cs="Helvetica" w:hint="eastAsia"/>
          <w:color w:val="333333"/>
          <w:shd w:val="clear" w:color="auto" w:fill="FFFFFF"/>
        </w:rPr>
        <w:t>2026</w:t>
      </w:r>
      <w:r w:rsidR="00116563" w:rsidRPr="00116563">
        <w:rPr>
          <w:rFonts w:ascii="Helvetica" w:hAnsi="Helvetica" w:cs="Helvetica" w:hint="eastAsia"/>
          <w:color w:val="333333"/>
          <w:shd w:val="clear" w:color="auto" w:fill="FFFFFF"/>
        </w:rPr>
        <w:t>年</w:t>
      </w:r>
      <w:r w:rsidR="00116563" w:rsidRPr="00116563">
        <w:rPr>
          <w:rFonts w:ascii="Helvetica" w:hAnsi="Helvetica" w:cs="Helvetica" w:hint="eastAsia"/>
          <w:color w:val="333333"/>
          <w:shd w:val="clear" w:color="auto" w:fill="FFFFFF"/>
        </w:rPr>
        <w:t>2</w:t>
      </w:r>
      <w:r w:rsidR="00116563" w:rsidRPr="00116563">
        <w:rPr>
          <w:rFonts w:ascii="Helvetica" w:hAnsi="Helvetica" w:cs="Helvetica" w:hint="eastAsia"/>
          <w:color w:val="333333"/>
          <w:shd w:val="clear" w:color="auto" w:fill="FFFFFF"/>
        </w:rPr>
        <w:t>月底至</w:t>
      </w:r>
      <w:r w:rsidR="00116563" w:rsidRPr="00116563">
        <w:rPr>
          <w:rFonts w:ascii="Helvetica" w:hAnsi="Helvetica" w:cs="Helvetica" w:hint="eastAsia"/>
          <w:color w:val="333333"/>
          <w:shd w:val="clear" w:color="auto" w:fill="FFFFFF"/>
        </w:rPr>
        <w:t>3</w:t>
      </w:r>
      <w:r w:rsidR="00116563" w:rsidRPr="00116563">
        <w:rPr>
          <w:rFonts w:ascii="Helvetica" w:hAnsi="Helvetica" w:cs="Helvetica" w:hint="eastAsia"/>
          <w:color w:val="333333"/>
          <w:shd w:val="clear" w:color="auto" w:fill="FFFFFF"/>
        </w:rPr>
        <w:t>月初经历了近乎崩溃的收缩。</w:t>
      </w:r>
    </w:p>
    <w:p w14:paraId="437E10D0" w14:textId="21561948" w:rsidR="00116563" w:rsidRDefault="006E0000" w:rsidP="00116563">
      <w:pPr>
        <w:rPr>
          <w:rFonts w:hint="eastAsia"/>
        </w:rPr>
      </w:pPr>
      <w:r w:rsidRPr="006E0000">
        <w:drawing>
          <wp:anchor distT="0" distB="0" distL="114300" distR="114300" simplePos="0" relativeHeight="251662336" behindDoc="0" locked="0" layoutInCell="1" allowOverlap="1" wp14:anchorId="5A41FFBA" wp14:editId="5F887640">
            <wp:simplePos x="0" y="0"/>
            <wp:positionH relativeFrom="column">
              <wp:align>center</wp:align>
            </wp:positionH>
            <wp:positionV relativeFrom="paragraph">
              <wp:posOffset>0</wp:posOffset>
            </wp:positionV>
            <wp:extent cx="4320000" cy="3078000"/>
            <wp:effectExtent l="0" t="0" r="4445" b="825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000" cy="3078000"/>
                    </a:xfrm>
                    <a:prstGeom prst="rect">
                      <a:avLst/>
                    </a:prstGeom>
                  </pic:spPr>
                </pic:pic>
              </a:graphicData>
            </a:graphic>
            <wp14:sizeRelH relativeFrom="margin">
              <wp14:pctWidth>0</wp14:pctWidth>
            </wp14:sizeRelH>
            <wp14:sizeRelV relativeFrom="margin">
              <wp14:pctHeight>0</wp14:pctHeight>
            </wp14:sizeRelV>
          </wp:anchor>
        </w:drawing>
      </w:r>
      <w:r w:rsidR="00116563">
        <w:tab/>
      </w:r>
      <w:r w:rsidR="00116563">
        <w:rPr>
          <w:rFonts w:hint="eastAsia"/>
        </w:rPr>
        <w:t>军事冲突爆发后，霍尔木兹海峡通行量呈现断崖式下跌。图</w:t>
      </w:r>
      <w:r w:rsidR="00116563">
        <w:rPr>
          <w:rFonts w:hint="eastAsia"/>
        </w:rPr>
        <w:t>4</w:t>
      </w:r>
      <w:r w:rsidR="00116563">
        <w:rPr>
          <w:rFonts w:hint="eastAsia"/>
        </w:rPr>
        <w:t>由上下两组双时间尺度时序图构成：上部为每日分船型通行船舶数量（</w:t>
      </w:r>
      <w:r w:rsidR="00116563">
        <w:rPr>
          <w:rFonts w:hint="eastAsia"/>
        </w:rPr>
        <w:t>Transit Calls</w:t>
      </w:r>
      <w:r w:rsidR="00116563">
        <w:rPr>
          <w:rFonts w:hint="eastAsia"/>
        </w:rPr>
        <w:t>），下部为对应贸易吨位（</w:t>
      </w:r>
      <w:r w:rsidR="00116563">
        <w:rPr>
          <w:rFonts w:hint="eastAsia"/>
        </w:rPr>
        <w:t>Trade Volume</w:t>
      </w:r>
      <w:r w:rsidR="00116563">
        <w:rPr>
          <w:rFonts w:hint="eastAsia"/>
        </w:rPr>
        <w:t>）；大图聚焦</w:t>
      </w:r>
      <w:r w:rsidR="00116563">
        <w:rPr>
          <w:rFonts w:hint="eastAsia"/>
        </w:rPr>
        <w:t>2026</w:t>
      </w:r>
      <w:r w:rsidR="00116563">
        <w:rPr>
          <w:rFonts w:hint="eastAsia"/>
        </w:rPr>
        <w:t>年</w:t>
      </w:r>
      <w:r w:rsidR="00116563">
        <w:rPr>
          <w:rFonts w:hint="eastAsia"/>
        </w:rPr>
        <w:t>1</w:t>
      </w:r>
      <w:r w:rsidR="00116563">
        <w:rPr>
          <w:rFonts w:hint="eastAsia"/>
        </w:rPr>
        <w:t>–</w:t>
      </w:r>
      <w:r w:rsidR="00116563">
        <w:rPr>
          <w:rFonts w:hint="eastAsia"/>
        </w:rPr>
        <w:t>6</w:t>
      </w:r>
      <w:r w:rsidR="00116563">
        <w:rPr>
          <w:rFonts w:hint="eastAsia"/>
        </w:rPr>
        <w:t>月微观波动，小图回溯</w:t>
      </w:r>
      <w:r w:rsidR="00116563">
        <w:rPr>
          <w:rFonts w:hint="eastAsia"/>
        </w:rPr>
        <w:t>2019</w:t>
      </w:r>
      <w:r w:rsidR="00116563">
        <w:rPr>
          <w:rFonts w:hint="eastAsia"/>
        </w:rPr>
        <w:t>–</w:t>
      </w:r>
      <w:r w:rsidR="00116563">
        <w:rPr>
          <w:rFonts w:hint="eastAsia"/>
        </w:rPr>
        <w:t>2025</w:t>
      </w:r>
      <w:r w:rsidR="00116563">
        <w:rPr>
          <w:rFonts w:hint="eastAsia"/>
        </w:rPr>
        <w:t>年历史基线，并以蓝色框标</w:t>
      </w:r>
      <w:proofErr w:type="gramStart"/>
      <w:r w:rsidR="00116563">
        <w:rPr>
          <w:rFonts w:hint="eastAsia"/>
        </w:rPr>
        <w:t>注危机</w:t>
      </w:r>
      <w:proofErr w:type="gramEnd"/>
      <w:r w:rsidR="00116563">
        <w:rPr>
          <w:rFonts w:hint="eastAsia"/>
        </w:rPr>
        <w:t>区间。</w:t>
      </w:r>
    </w:p>
    <w:p w14:paraId="07EE299A" w14:textId="558908A8" w:rsidR="006E0000" w:rsidRDefault="00116563" w:rsidP="00116563">
      <w:r>
        <w:tab/>
      </w:r>
      <w:r>
        <w:rPr>
          <w:rFonts w:hint="eastAsia"/>
        </w:rPr>
        <w:t>历史小图表明，</w:t>
      </w:r>
      <w:r>
        <w:rPr>
          <w:rFonts w:hint="eastAsia"/>
        </w:rPr>
        <w:t>2019</w:t>
      </w:r>
      <w:r>
        <w:rPr>
          <w:rFonts w:hint="eastAsia"/>
        </w:rPr>
        <w:t>–</w:t>
      </w:r>
      <w:r>
        <w:rPr>
          <w:rFonts w:hint="eastAsia"/>
        </w:rPr>
        <w:t>2025</w:t>
      </w:r>
      <w:r>
        <w:rPr>
          <w:rFonts w:hint="eastAsia"/>
        </w:rPr>
        <w:t>年海峡通行呈显著季节性波动与趋势性增长，而</w:t>
      </w:r>
      <w:r>
        <w:rPr>
          <w:rFonts w:hint="eastAsia"/>
        </w:rPr>
        <w:t>2026</w:t>
      </w:r>
      <w:r>
        <w:rPr>
          <w:rFonts w:hint="eastAsia"/>
        </w:rPr>
        <w:t>年</w:t>
      </w:r>
      <w:r>
        <w:rPr>
          <w:rFonts w:hint="eastAsia"/>
        </w:rPr>
        <w:t>3</w:t>
      </w:r>
      <w:r>
        <w:rPr>
          <w:rFonts w:hint="eastAsia"/>
        </w:rPr>
        <w:t>月后的断崖式下跌完全偏离历史区间；当年</w:t>
      </w:r>
      <w:r>
        <w:rPr>
          <w:rFonts w:hint="eastAsia"/>
        </w:rPr>
        <w:t>7</w:t>
      </w:r>
      <w:r>
        <w:rPr>
          <w:rFonts w:hint="eastAsia"/>
        </w:rPr>
        <w:t>日移动平均（实线）与上年同期（虚线）彻底分离，验证了崩塌的突发性。</w:t>
      </w:r>
    </w:p>
    <w:p w14:paraId="6EAF987E" w14:textId="7C9E86CB" w:rsidR="009F1E4B" w:rsidRPr="009F1E4B" w:rsidRDefault="009F1E4B" w:rsidP="009F1E4B">
      <w:pPr>
        <w:pStyle w:val="a8"/>
        <w:keepNext/>
        <w:jc w:val="center"/>
        <w:rPr>
          <w:b/>
          <w:bCs/>
          <w:sz w:val="21"/>
          <w:szCs w:val="21"/>
        </w:rPr>
      </w:pPr>
      <w:r w:rsidRPr="009F1E4B">
        <w:rPr>
          <w:rFonts w:hint="eastAsia"/>
          <w:b/>
          <w:bCs/>
          <w:sz w:val="21"/>
          <w:szCs w:val="21"/>
        </w:rPr>
        <w:t>表</w:t>
      </w:r>
      <w:r w:rsidRPr="009F1E4B">
        <w:rPr>
          <w:rFonts w:ascii="Times New Roman" w:hAnsi="Times New Roman" w:cs="Times New Roman"/>
          <w:b/>
          <w:bCs/>
          <w:sz w:val="21"/>
          <w:szCs w:val="21"/>
        </w:rPr>
        <w:t>4.1.1</w:t>
      </w:r>
      <w:r w:rsidRPr="009F1E4B">
        <w:rPr>
          <w:rFonts w:hint="eastAsia"/>
          <w:b/>
          <w:bCs/>
          <w:sz w:val="21"/>
          <w:szCs w:val="21"/>
        </w:rPr>
        <w:t>：</w:t>
      </w:r>
      <w:r w:rsidRPr="009F1E4B">
        <w:rPr>
          <w:rFonts w:hint="eastAsia"/>
          <w:b/>
          <w:bCs/>
          <w:sz w:val="21"/>
          <w:szCs w:val="21"/>
        </w:rPr>
        <w:t>封锁前后海峡通行量与贸易量对比</w:t>
      </w:r>
    </w:p>
    <w:tbl>
      <w:tblPr>
        <w:tblW w:w="0" w:type="auto"/>
        <w:tblLook w:val="04A0" w:firstRow="1" w:lastRow="0" w:firstColumn="1" w:lastColumn="0" w:noHBand="0" w:noVBand="1"/>
      </w:tblPr>
      <w:tblGrid>
        <w:gridCol w:w="2241"/>
        <w:gridCol w:w="1444"/>
        <w:gridCol w:w="1435"/>
        <w:gridCol w:w="993"/>
        <w:gridCol w:w="2193"/>
      </w:tblGrid>
      <w:tr w:rsidR="00116563" w:rsidRPr="00742CBA" w14:paraId="59C4DC35" w14:textId="612934EC" w:rsidTr="00116563">
        <w:trPr>
          <w:trHeight w:val="529"/>
        </w:trPr>
        <w:tc>
          <w:tcPr>
            <w:tcW w:w="0" w:type="auto"/>
            <w:tcBorders>
              <w:top w:val="single" w:sz="12" w:space="0" w:color="auto"/>
              <w:left w:val="nil"/>
              <w:right w:val="nil"/>
            </w:tcBorders>
            <w:shd w:val="clear" w:color="auto" w:fill="auto"/>
            <w:hideMark/>
          </w:tcPr>
          <w:p w14:paraId="63B1C413" w14:textId="6BD9B529" w:rsidR="00116563" w:rsidRPr="00E700EA" w:rsidRDefault="00116563" w:rsidP="009F1E4B">
            <w:pPr>
              <w:widowControl/>
              <w:spacing w:line="480" w:lineRule="auto"/>
              <w:jc w:val="center"/>
              <w:rPr>
                <w:b/>
                <w:bCs/>
                <w:color w:val="000000"/>
                <w:kern w:val="0"/>
                <w:sz w:val="21"/>
                <w:szCs w:val="20"/>
              </w:rPr>
            </w:pPr>
            <w:r>
              <w:rPr>
                <w:rFonts w:ascii="inherit" w:hAnsi="inherit" w:cs="Segoe UI"/>
                <w:b/>
                <w:bCs/>
                <w:spacing w:val="8"/>
                <w:sz w:val="21"/>
                <w:szCs w:val="21"/>
              </w:rPr>
              <w:t>时期</w:t>
            </w:r>
          </w:p>
        </w:tc>
        <w:tc>
          <w:tcPr>
            <w:tcW w:w="0" w:type="auto"/>
            <w:tcBorders>
              <w:top w:val="single" w:sz="12" w:space="0" w:color="auto"/>
              <w:left w:val="nil"/>
              <w:right w:val="nil"/>
            </w:tcBorders>
            <w:shd w:val="clear" w:color="auto" w:fill="auto"/>
          </w:tcPr>
          <w:p w14:paraId="35BC04CA" w14:textId="3980DC85" w:rsidR="00116563" w:rsidRPr="00E700EA" w:rsidRDefault="00116563" w:rsidP="00116563">
            <w:pPr>
              <w:widowControl/>
              <w:spacing w:line="240" w:lineRule="auto"/>
              <w:jc w:val="center"/>
              <w:rPr>
                <w:b/>
                <w:bCs/>
                <w:color w:val="000000"/>
                <w:kern w:val="0"/>
                <w:sz w:val="21"/>
                <w:szCs w:val="20"/>
              </w:rPr>
            </w:pPr>
            <w:r>
              <w:rPr>
                <w:rFonts w:ascii="inherit" w:hAnsi="inherit" w:cs="Segoe UI"/>
                <w:b/>
                <w:bCs/>
                <w:spacing w:val="8"/>
                <w:sz w:val="21"/>
                <w:szCs w:val="21"/>
              </w:rPr>
              <w:t>日均通行量（艘）</w:t>
            </w:r>
          </w:p>
        </w:tc>
        <w:tc>
          <w:tcPr>
            <w:tcW w:w="0" w:type="auto"/>
            <w:tcBorders>
              <w:top w:val="single" w:sz="12" w:space="0" w:color="auto"/>
              <w:left w:val="nil"/>
              <w:right w:val="nil"/>
            </w:tcBorders>
          </w:tcPr>
          <w:p w14:paraId="091084D7" w14:textId="3FFC5770" w:rsidR="00116563" w:rsidRPr="00E700EA" w:rsidRDefault="00116563" w:rsidP="00116563">
            <w:pPr>
              <w:widowControl/>
              <w:spacing w:line="240" w:lineRule="auto"/>
              <w:jc w:val="center"/>
              <w:rPr>
                <w:b/>
                <w:bCs/>
                <w:color w:val="000000"/>
                <w:kern w:val="0"/>
                <w:sz w:val="21"/>
                <w:szCs w:val="20"/>
              </w:rPr>
            </w:pPr>
            <w:r>
              <w:rPr>
                <w:rFonts w:ascii="inherit" w:hAnsi="inherit" w:cs="Segoe UI"/>
                <w:b/>
                <w:bCs/>
                <w:spacing w:val="8"/>
                <w:sz w:val="21"/>
                <w:szCs w:val="21"/>
              </w:rPr>
              <w:t>日均贸易量（万吨）</w:t>
            </w:r>
          </w:p>
        </w:tc>
        <w:tc>
          <w:tcPr>
            <w:tcW w:w="0" w:type="auto"/>
            <w:tcBorders>
              <w:top w:val="single" w:sz="12" w:space="0" w:color="auto"/>
              <w:left w:val="nil"/>
              <w:right w:val="nil"/>
            </w:tcBorders>
          </w:tcPr>
          <w:p w14:paraId="0365B8A4" w14:textId="4EB33103" w:rsidR="00116563" w:rsidRPr="00E700EA" w:rsidRDefault="00116563" w:rsidP="00116563">
            <w:pPr>
              <w:widowControl/>
              <w:spacing w:line="240" w:lineRule="auto"/>
              <w:jc w:val="center"/>
              <w:rPr>
                <w:rFonts w:ascii="Helvetica" w:hAnsi="Helvetica" w:cs="Helvetica"/>
                <w:b/>
                <w:bCs/>
                <w:color w:val="000000"/>
                <w:sz w:val="21"/>
                <w:szCs w:val="20"/>
              </w:rPr>
            </w:pPr>
            <w:r>
              <w:rPr>
                <w:rFonts w:ascii="inherit" w:hAnsi="inherit" w:cs="Segoe UI"/>
                <w:b/>
                <w:bCs/>
                <w:spacing w:val="8"/>
                <w:sz w:val="21"/>
                <w:szCs w:val="21"/>
              </w:rPr>
              <w:t>较基线降幅</w:t>
            </w:r>
          </w:p>
        </w:tc>
        <w:tc>
          <w:tcPr>
            <w:tcW w:w="0" w:type="auto"/>
            <w:tcBorders>
              <w:top w:val="single" w:sz="12" w:space="0" w:color="auto"/>
              <w:left w:val="nil"/>
              <w:right w:val="nil"/>
            </w:tcBorders>
          </w:tcPr>
          <w:p w14:paraId="04E03B92" w14:textId="4B6C2B50" w:rsidR="00116563" w:rsidRPr="00E700EA" w:rsidRDefault="00116563" w:rsidP="009F1E4B">
            <w:pPr>
              <w:widowControl/>
              <w:spacing w:line="480" w:lineRule="auto"/>
              <w:jc w:val="center"/>
              <w:rPr>
                <w:rFonts w:ascii="Helvetica" w:hAnsi="Helvetica" w:cs="Helvetica"/>
                <w:b/>
                <w:bCs/>
                <w:color w:val="000000"/>
                <w:sz w:val="21"/>
                <w:szCs w:val="20"/>
              </w:rPr>
            </w:pPr>
            <w:r>
              <w:rPr>
                <w:rFonts w:ascii="inherit" w:hAnsi="inherit" w:cs="Segoe UI"/>
                <w:b/>
                <w:bCs/>
                <w:spacing w:val="8"/>
                <w:sz w:val="21"/>
                <w:szCs w:val="21"/>
              </w:rPr>
              <w:t>主要船型特征</w:t>
            </w:r>
          </w:p>
        </w:tc>
      </w:tr>
      <w:tr w:rsidR="00116563" w:rsidRPr="00742CBA" w14:paraId="1F1CA6A9" w14:textId="295A10DB" w:rsidTr="00116563">
        <w:trPr>
          <w:trHeight w:val="578"/>
        </w:trPr>
        <w:tc>
          <w:tcPr>
            <w:tcW w:w="0" w:type="auto"/>
            <w:tcBorders>
              <w:top w:val="single" w:sz="8" w:space="0" w:color="auto"/>
              <w:left w:val="nil"/>
              <w:bottom w:val="nil"/>
              <w:right w:val="nil"/>
            </w:tcBorders>
            <w:shd w:val="clear" w:color="auto" w:fill="auto"/>
            <w:hideMark/>
          </w:tcPr>
          <w:p w14:paraId="7040CE9E" w14:textId="4B3B9560" w:rsidR="00116563" w:rsidRPr="00E700EA" w:rsidRDefault="00116563" w:rsidP="00116563">
            <w:pPr>
              <w:widowControl/>
              <w:spacing w:line="240" w:lineRule="auto"/>
              <w:jc w:val="center"/>
              <w:rPr>
                <w:color w:val="000000"/>
                <w:kern w:val="0"/>
                <w:sz w:val="21"/>
                <w:szCs w:val="20"/>
              </w:rPr>
            </w:pPr>
            <w:r>
              <w:rPr>
                <w:rFonts w:ascii="inherit" w:hAnsi="inherit" w:cs="Segoe UI"/>
                <w:spacing w:val="8"/>
                <w:sz w:val="21"/>
                <w:szCs w:val="21"/>
              </w:rPr>
              <w:t>封锁前基线（</w:t>
            </w:r>
            <w:r>
              <w:rPr>
                <w:rFonts w:ascii="inherit" w:hAnsi="inherit" w:cs="Segoe UI"/>
                <w:spacing w:val="8"/>
                <w:sz w:val="21"/>
                <w:szCs w:val="21"/>
              </w:rPr>
              <w:t>2026.1–2.27</w:t>
            </w:r>
            <w:r>
              <w:rPr>
                <w:rFonts w:ascii="inherit" w:hAnsi="inherit" w:cs="Segoe UI"/>
                <w:spacing w:val="8"/>
                <w:sz w:val="21"/>
                <w:szCs w:val="21"/>
              </w:rPr>
              <w:t>）</w:t>
            </w:r>
          </w:p>
        </w:tc>
        <w:tc>
          <w:tcPr>
            <w:tcW w:w="0" w:type="auto"/>
            <w:tcBorders>
              <w:top w:val="single" w:sz="8" w:space="0" w:color="auto"/>
              <w:left w:val="nil"/>
              <w:bottom w:val="nil"/>
              <w:right w:val="nil"/>
            </w:tcBorders>
            <w:shd w:val="clear" w:color="auto" w:fill="auto"/>
            <w:hideMark/>
          </w:tcPr>
          <w:p w14:paraId="1516E864" w14:textId="3887699C" w:rsidR="00116563" w:rsidRPr="00E700EA" w:rsidRDefault="00116563" w:rsidP="00116563">
            <w:pPr>
              <w:widowControl/>
              <w:spacing w:line="480" w:lineRule="auto"/>
              <w:jc w:val="center"/>
              <w:rPr>
                <w:color w:val="000000"/>
                <w:kern w:val="0"/>
                <w:sz w:val="21"/>
                <w:szCs w:val="20"/>
              </w:rPr>
            </w:pPr>
            <w:r>
              <w:rPr>
                <w:rFonts w:ascii="inherit" w:hAnsi="inherit" w:cs="Segoe UI"/>
                <w:spacing w:val="8"/>
                <w:sz w:val="21"/>
                <w:szCs w:val="21"/>
              </w:rPr>
              <w:t>81</w:t>
            </w:r>
          </w:p>
        </w:tc>
        <w:tc>
          <w:tcPr>
            <w:tcW w:w="0" w:type="auto"/>
            <w:tcBorders>
              <w:top w:val="single" w:sz="8" w:space="0" w:color="auto"/>
              <w:left w:val="nil"/>
              <w:bottom w:val="nil"/>
              <w:right w:val="nil"/>
            </w:tcBorders>
          </w:tcPr>
          <w:p w14:paraId="2ADDEEBE" w14:textId="09E71453" w:rsidR="00116563" w:rsidRPr="00E700EA" w:rsidRDefault="00116563" w:rsidP="00116563">
            <w:pPr>
              <w:widowControl/>
              <w:spacing w:line="480" w:lineRule="auto"/>
              <w:jc w:val="center"/>
              <w:rPr>
                <w:sz w:val="21"/>
                <w:szCs w:val="20"/>
              </w:rPr>
            </w:pPr>
            <w:r>
              <w:rPr>
                <w:rFonts w:ascii="inherit" w:hAnsi="inherit" w:cs="Segoe UI"/>
                <w:spacing w:val="8"/>
                <w:sz w:val="21"/>
                <w:szCs w:val="21"/>
              </w:rPr>
              <w:t>302</w:t>
            </w:r>
          </w:p>
        </w:tc>
        <w:tc>
          <w:tcPr>
            <w:tcW w:w="0" w:type="auto"/>
            <w:tcBorders>
              <w:top w:val="single" w:sz="8" w:space="0" w:color="auto"/>
              <w:left w:val="nil"/>
              <w:bottom w:val="nil"/>
              <w:right w:val="nil"/>
            </w:tcBorders>
          </w:tcPr>
          <w:p w14:paraId="0932CC48" w14:textId="01037618"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w:t>
            </w:r>
          </w:p>
        </w:tc>
        <w:tc>
          <w:tcPr>
            <w:tcW w:w="0" w:type="auto"/>
            <w:tcBorders>
              <w:top w:val="single" w:sz="8" w:space="0" w:color="auto"/>
              <w:left w:val="nil"/>
              <w:bottom w:val="nil"/>
              <w:right w:val="nil"/>
            </w:tcBorders>
          </w:tcPr>
          <w:p w14:paraId="7F45599A" w14:textId="7CD62432" w:rsidR="00116563" w:rsidRPr="00E700EA" w:rsidRDefault="00116563" w:rsidP="00116563">
            <w:pPr>
              <w:widowControl/>
              <w:spacing w:line="240" w:lineRule="auto"/>
              <w:jc w:val="center"/>
              <w:rPr>
                <w:rFonts w:ascii="Helvetica" w:hAnsi="Helvetica" w:cs="Helvetica"/>
                <w:color w:val="333333"/>
                <w:sz w:val="21"/>
                <w:szCs w:val="20"/>
              </w:rPr>
            </w:pPr>
            <w:r>
              <w:rPr>
                <w:rFonts w:ascii="inherit" w:hAnsi="inherit" w:cs="Segoe UI"/>
                <w:spacing w:val="8"/>
                <w:sz w:val="21"/>
                <w:szCs w:val="21"/>
              </w:rPr>
              <w:t>油轮、干散货船、集装箱船均衡分布</w:t>
            </w:r>
          </w:p>
        </w:tc>
      </w:tr>
      <w:tr w:rsidR="00116563" w:rsidRPr="00742CBA" w14:paraId="575FE6D9" w14:textId="228B640E" w:rsidTr="00116563">
        <w:trPr>
          <w:trHeight w:val="578"/>
        </w:trPr>
        <w:tc>
          <w:tcPr>
            <w:tcW w:w="0" w:type="auto"/>
            <w:tcBorders>
              <w:top w:val="nil"/>
              <w:left w:val="nil"/>
              <w:bottom w:val="nil"/>
              <w:right w:val="nil"/>
            </w:tcBorders>
            <w:shd w:val="clear" w:color="auto" w:fill="auto"/>
          </w:tcPr>
          <w:p w14:paraId="3726801A" w14:textId="77777777" w:rsidR="00116563" w:rsidRDefault="00116563" w:rsidP="00116563">
            <w:pPr>
              <w:widowControl/>
              <w:spacing w:line="240" w:lineRule="auto"/>
              <w:jc w:val="center"/>
              <w:rPr>
                <w:rFonts w:ascii="inherit" w:hAnsi="inherit" w:cs="Segoe UI"/>
                <w:spacing w:val="8"/>
                <w:sz w:val="21"/>
                <w:szCs w:val="21"/>
              </w:rPr>
            </w:pPr>
            <w:r>
              <w:rPr>
                <w:rFonts w:ascii="inherit" w:hAnsi="inherit" w:cs="Segoe UI"/>
                <w:spacing w:val="8"/>
                <w:sz w:val="21"/>
                <w:szCs w:val="21"/>
              </w:rPr>
              <w:t>冲突爆发</w:t>
            </w:r>
          </w:p>
          <w:p w14:paraId="293262FF" w14:textId="15DC1536" w:rsidR="00116563" w:rsidRPr="00E700EA" w:rsidRDefault="00116563" w:rsidP="00116563">
            <w:pPr>
              <w:widowControl/>
              <w:spacing w:line="240" w:lineRule="auto"/>
              <w:jc w:val="center"/>
              <w:rPr>
                <w:iCs/>
                <w:sz w:val="21"/>
                <w:szCs w:val="20"/>
              </w:rPr>
            </w:pPr>
            <w:r>
              <w:rPr>
                <w:rFonts w:ascii="inherit" w:hAnsi="inherit" w:cs="Segoe UI"/>
                <w:spacing w:val="8"/>
                <w:sz w:val="21"/>
                <w:szCs w:val="21"/>
              </w:rPr>
              <w:t>（</w:t>
            </w:r>
            <w:r>
              <w:rPr>
                <w:rFonts w:ascii="inherit" w:hAnsi="inherit" w:cs="Segoe UI"/>
                <w:spacing w:val="8"/>
                <w:sz w:val="21"/>
                <w:szCs w:val="21"/>
              </w:rPr>
              <w:t>2026.2.28–3.3</w:t>
            </w:r>
            <w:r>
              <w:rPr>
                <w:rFonts w:ascii="inherit" w:hAnsi="inherit" w:cs="Segoe UI"/>
                <w:spacing w:val="8"/>
                <w:sz w:val="21"/>
                <w:szCs w:val="21"/>
              </w:rPr>
              <w:t>）</w:t>
            </w:r>
          </w:p>
        </w:tc>
        <w:tc>
          <w:tcPr>
            <w:tcW w:w="0" w:type="auto"/>
            <w:tcBorders>
              <w:top w:val="nil"/>
              <w:left w:val="nil"/>
              <w:bottom w:val="nil"/>
              <w:right w:val="nil"/>
            </w:tcBorders>
            <w:shd w:val="clear" w:color="auto" w:fill="auto"/>
          </w:tcPr>
          <w:p w14:paraId="373BCB5B" w14:textId="097F4550" w:rsidR="00116563" w:rsidRPr="00E700EA" w:rsidRDefault="00116563" w:rsidP="00116563">
            <w:pPr>
              <w:widowControl/>
              <w:spacing w:line="480" w:lineRule="auto"/>
              <w:jc w:val="center"/>
              <w:rPr>
                <w:sz w:val="21"/>
                <w:szCs w:val="20"/>
              </w:rPr>
            </w:pPr>
            <w:r>
              <w:rPr>
                <w:rFonts w:ascii="inherit" w:hAnsi="inherit" w:cs="Segoe UI"/>
                <w:spacing w:val="8"/>
                <w:sz w:val="21"/>
                <w:szCs w:val="21"/>
              </w:rPr>
              <w:t>23</w:t>
            </w:r>
          </w:p>
        </w:tc>
        <w:tc>
          <w:tcPr>
            <w:tcW w:w="0" w:type="auto"/>
            <w:tcBorders>
              <w:top w:val="nil"/>
              <w:left w:val="nil"/>
              <w:bottom w:val="nil"/>
              <w:right w:val="nil"/>
            </w:tcBorders>
          </w:tcPr>
          <w:p w14:paraId="0BF52A2E" w14:textId="05D21D62" w:rsidR="00116563" w:rsidRPr="00E700EA" w:rsidRDefault="00116563" w:rsidP="00116563">
            <w:pPr>
              <w:widowControl/>
              <w:spacing w:line="480" w:lineRule="auto"/>
              <w:jc w:val="center"/>
              <w:rPr>
                <w:sz w:val="21"/>
                <w:szCs w:val="20"/>
              </w:rPr>
            </w:pPr>
            <w:r>
              <w:rPr>
                <w:rFonts w:ascii="inherit" w:hAnsi="inherit" w:cs="Segoe UI"/>
                <w:spacing w:val="8"/>
                <w:sz w:val="21"/>
                <w:szCs w:val="21"/>
              </w:rPr>
              <w:t>101</w:t>
            </w:r>
          </w:p>
        </w:tc>
        <w:tc>
          <w:tcPr>
            <w:tcW w:w="0" w:type="auto"/>
            <w:tcBorders>
              <w:top w:val="nil"/>
              <w:left w:val="nil"/>
              <w:bottom w:val="nil"/>
              <w:right w:val="nil"/>
            </w:tcBorders>
          </w:tcPr>
          <w:p w14:paraId="5EB396C3" w14:textId="68BDE7BB"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–71%</w:t>
            </w:r>
          </w:p>
        </w:tc>
        <w:tc>
          <w:tcPr>
            <w:tcW w:w="0" w:type="auto"/>
            <w:tcBorders>
              <w:top w:val="nil"/>
              <w:left w:val="nil"/>
              <w:bottom w:val="nil"/>
              <w:right w:val="nil"/>
            </w:tcBorders>
          </w:tcPr>
          <w:p w14:paraId="588A3158" w14:textId="586FD470"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大型船舶紧急退出</w:t>
            </w:r>
          </w:p>
        </w:tc>
      </w:tr>
      <w:tr w:rsidR="00116563" w:rsidRPr="00742CBA" w14:paraId="448CED3F" w14:textId="4893E904" w:rsidTr="00116563">
        <w:trPr>
          <w:trHeight w:val="578"/>
        </w:trPr>
        <w:tc>
          <w:tcPr>
            <w:tcW w:w="0" w:type="auto"/>
            <w:tcBorders>
              <w:top w:val="nil"/>
              <w:left w:val="nil"/>
              <w:bottom w:val="nil"/>
              <w:right w:val="nil"/>
            </w:tcBorders>
            <w:shd w:val="clear" w:color="auto" w:fill="auto"/>
          </w:tcPr>
          <w:p w14:paraId="3BCBD5F6" w14:textId="77777777" w:rsidR="00116563" w:rsidRDefault="00116563" w:rsidP="00116563">
            <w:pPr>
              <w:widowControl/>
              <w:spacing w:line="240" w:lineRule="auto"/>
              <w:jc w:val="center"/>
              <w:rPr>
                <w:rFonts w:ascii="inherit" w:hAnsi="inherit" w:cs="Segoe UI"/>
                <w:spacing w:val="8"/>
                <w:sz w:val="21"/>
                <w:szCs w:val="21"/>
              </w:rPr>
            </w:pPr>
            <w:r>
              <w:rPr>
                <w:rFonts w:ascii="inherit" w:hAnsi="inherit" w:cs="Segoe UI"/>
                <w:spacing w:val="8"/>
                <w:sz w:val="21"/>
                <w:szCs w:val="21"/>
              </w:rPr>
              <w:lastRenderedPageBreak/>
              <w:t>封锁初期</w:t>
            </w:r>
          </w:p>
          <w:p w14:paraId="1527FF42" w14:textId="54FAFD14" w:rsidR="00116563" w:rsidRPr="00E700EA" w:rsidRDefault="00116563" w:rsidP="00116563">
            <w:pPr>
              <w:widowControl/>
              <w:spacing w:line="240" w:lineRule="auto"/>
              <w:jc w:val="center"/>
              <w:rPr>
                <w:color w:val="000000"/>
                <w:kern w:val="0"/>
                <w:sz w:val="21"/>
                <w:szCs w:val="20"/>
              </w:rPr>
            </w:pPr>
            <w:r>
              <w:rPr>
                <w:rFonts w:ascii="inherit" w:hAnsi="inherit" w:cs="Segoe UI"/>
                <w:spacing w:val="8"/>
                <w:sz w:val="21"/>
                <w:szCs w:val="21"/>
              </w:rPr>
              <w:t>（</w:t>
            </w:r>
            <w:r>
              <w:rPr>
                <w:rFonts w:ascii="inherit" w:hAnsi="inherit" w:cs="Segoe UI"/>
                <w:spacing w:val="8"/>
                <w:sz w:val="21"/>
                <w:szCs w:val="21"/>
              </w:rPr>
              <w:t>2026.3.1–7</w:t>
            </w:r>
            <w:r>
              <w:rPr>
                <w:rFonts w:ascii="inherit" w:hAnsi="inherit" w:cs="Segoe UI"/>
                <w:spacing w:val="8"/>
                <w:sz w:val="21"/>
                <w:szCs w:val="21"/>
              </w:rPr>
              <w:t>）</w:t>
            </w:r>
          </w:p>
        </w:tc>
        <w:tc>
          <w:tcPr>
            <w:tcW w:w="0" w:type="auto"/>
            <w:tcBorders>
              <w:top w:val="nil"/>
              <w:left w:val="nil"/>
              <w:bottom w:val="nil"/>
              <w:right w:val="nil"/>
            </w:tcBorders>
            <w:shd w:val="clear" w:color="auto" w:fill="auto"/>
          </w:tcPr>
          <w:p w14:paraId="3A783416" w14:textId="70FB0AF2" w:rsidR="00116563" w:rsidRPr="00E700EA" w:rsidRDefault="00116563" w:rsidP="00116563">
            <w:pPr>
              <w:widowControl/>
              <w:spacing w:line="480" w:lineRule="auto"/>
              <w:jc w:val="center"/>
              <w:rPr>
                <w:color w:val="000000"/>
                <w:kern w:val="0"/>
                <w:sz w:val="21"/>
                <w:szCs w:val="20"/>
              </w:rPr>
            </w:pPr>
            <w:r>
              <w:rPr>
                <w:rFonts w:ascii="inherit" w:hAnsi="inherit" w:cs="Segoe UI"/>
                <w:spacing w:val="8"/>
                <w:sz w:val="21"/>
                <w:szCs w:val="21"/>
              </w:rPr>
              <w:t>7</w:t>
            </w:r>
          </w:p>
        </w:tc>
        <w:tc>
          <w:tcPr>
            <w:tcW w:w="0" w:type="auto"/>
            <w:tcBorders>
              <w:top w:val="nil"/>
              <w:left w:val="nil"/>
              <w:bottom w:val="nil"/>
              <w:right w:val="nil"/>
            </w:tcBorders>
          </w:tcPr>
          <w:p w14:paraId="3072F0CE" w14:textId="49D18995" w:rsidR="00116563" w:rsidRPr="00E700EA" w:rsidRDefault="00116563" w:rsidP="00116563">
            <w:pPr>
              <w:widowControl/>
              <w:spacing w:line="480" w:lineRule="auto"/>
              <w:jc w:val="center"/>
              <w:rPr>
                <w:sz w:val="21"/>
                <w:szCs w:val="20"/>
              </w:rPr>
            </w:pPr>
            <w:r>
              <w:rPr>
                <w:rFonts w:ascii="inherit" w:hAnsi="inherit" w:cs="Segoe UI"/>
                <w:spacing w:val="8"/>
                <w:sz w:val="21"/>
                <w:szCs w:val="21"/>
              </w:rPr>
              <w:t>20</w:t>
            </w:r>
          </w:p>
        </w:tc>
        <w:tc>
          <w:tcPr>
            <w:tcW w:w="0" w:type="auto"/>
            <w:tcBorders>
              <w:top w:val="nil"/>
              <w:left w:val="nil"/>
              <w:bottom w:val="nil"/>
              <w:right w:val="nil"/>
            </w:tcBorders>
          </w:tcPr>
          <w:p w14:paraId="1358AF32" w14:textId="076758A2"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–93%</w:t>
            </w:r>
          </w:p>
        </w:tc>
        <w:tc>
          <w:tcPr>
            <w:tcW w:w="0" w:type="auto"/>
            <w:tcBorders>
              <w:top w:val="nil"/>
              <w:left w:val="nil"/>
              <w:bottom w:val="nil"/>
              <w:right w:val="nil"/>
            </w:tcBorders>
          </w:tcPr>
          <w:p w14:paraId="6D5F1571" w14:textId="0D5C90C3" w:rsidR="00116563" w:rsidRPr="00E700EA" w:rsidRDefault="00116563" w:rsidP="00116563">
            <w:pPr>
              <w:widowControl/>
              <w:spacing w:line="240" w:lineRule="auto"/>
              <w:jc w:val="center"/>
              <w:rPr>
                <w:rFonts w:ascii="Helvetica" w:hAnsi="Helvetica" w:cs="Helvetica"/>
                <w:color w:val="333333"/>
                <w:sz w:val="21"/>
                <w:szCs w:val="20"/>
              </w:rPr>
            </w:pPr>
            <w:r>
              <w:rPr>
                <w:rFonts w:ascii="inherit" w:hAnsi="inherit" w:cs="Segoe UI"/>
                <w:spacing w:val="8"/>
                <w:sz w:val="21"/>
                <w:szCs w:val="21"/>
              </w:rPr>
              <w:t>零星小型船舶，</w:t>
            </w:r>
            <w:r>
              <w:rPr>
                <w:rFonts w:ascii="inherit" w:hAnsi="inherit" w:cs="Segoe UI"/>
                <w:spacing w:val="8"/>
                <w:sz w:val="21"/>
                <w:szCs w:val="21"/>
              </w:rPr>
              <w:t>3</w:t>
            </w:r>
            <w:r>
              <w:rPr>
                <w:rFonts w:ascii="inherit" w:hAnsi="inherit" w:cs="Segoe UI"/>
                <w:spacing w:val="8"/>
                <w:sz w:val="21"/>
                <w:szCs w:val="21"/>
              </w:rPr>
              <w:t>月</w:t>
            </w:r>
            <w:r>
              <w:rPr>
                <w:rFonts w:ascii="inherit" w:hAnsi="inherit" w:cs="Segoe UI"/>
                <w:spacing w:val="8"/>
                <w:sz w:val="21"/>
                <w:szCs w:val="21"/>
              </w:rPr>
              <w:t>13</w:t>
            </w:r>
            <w:r>
              <w:rPr>
                <w:rFonts w:ascii="inherit" w:hAnsi="inherit" w:cs="Segoe UI"/>
                <w:spacing w:val="8"/>
                <w:sz w:val="21"/>
                <w:szCs w:val="21"/>
              </w:rPr>
              <w:t>日零记录</w:t>
            </w:r>
          </w:p>
        </w:tc>
      </w:tr>
      <w:tr w:rsidR="00116563" w:rsidRPr="00742CBA" w14:paraId="0174F044" w14:textId="73C68BD4" w:rsidTr="00116563">
        <w:trPr>
          <w:trHeight w:val="578"/>
        </w:trPr>
        <w:tc>
          <w:tcPr>
            <w:tcW w:w="0" w:type="auto"/>
            <w:tcBorders>
              <w:top w:val="nil"/>
              <w:left w:val="nil"/>
              <w:bottom w:val="nil"/>
              <w:right w:val="nil"/>
            </w:tcBorders>
            <w:shd w:val="clear" w:color="auto" w:fill="auto"/>
          </w:tcPr>
          <w:p w14:paraId="24365F83" w14:textId="77777777" w:rsidR="00116563" w:rsidRDefault="00116563" w:rsidP="00116563">
            <w:pPr>
              <w:widowControl/>
              <w:spacing w:line="240" w:lineRule="auto"/>
              <w:jc w:val="center"/>
              <w:rPr>
                <w:rFonts w:ascii="inherit" w:hAnsi="inherit" w:cs="Segoe UI"/>
                <w:spacing w:val="8"/>
                <w:sz w:val="21"/>
                <w:szCs w:val="21"/>
              </w:rPr>
            </w:pPr>
            <w:r>
              <w:rPr>
                <w:rFonts w:ascii="inherit" w:hAnsi="inherit" w:cs="Segoe UI"/>
                <w:spacing w:val="8"/>
                <w:sz w:val="21"/>
                <w:szCs w:val="21"/>
              </w:rPr>
              <w:t>封锁持续期</w:t>
            </w:r>
          </w:p>
          <w:p w14:paraId="6D765EA1" w14:textId="5D370E8F" w:rsidR="00116563" w:rsidRPr="00E700EA" w:rsidRDefault="00116563" w:rsidP="00116563">
            <w:pPr>
              <w:widowControl/>
              <w:spacing w:line="240" w:lineRule="auto"/>
              <w:jc w:val="center"/>
              <w:rPr>
                <w:color w:val="000000"/>
                <w:kern w:val="0"/>
                <w:sz w:val="21"/>
                <w:szCs w:val="20"/>
              </w:rPr>
            </w:pPr>
            <w:r>
              <w:rPr>
                <w:rFonts w:ascii="inherit" w:hAnsi="inherit" w:cs="Segoe UI"/>
                <w:spacing w:val="8"/>
                <w:sz w:val="21"/>
                <w:szCs w:val="21"/>
              </w:rPr>
              <w:t>（</w:t>
            </w:r>
            <w:r>
              <w:rPr>
                <w:rFonts w:ascii="inherit" w:hAnsi="inherit" w:cs="Segoe UI"/>
                <w:spacing w:val="8"/>
                <w:sz w:val="21"/>
                <w:szCs w:val="21"/>
              </w:rPr>
              <w:t>2026.3.8–5.31</w:t>
            </w:r>
            <w:r>
              <w:rPr>
                <w:rFonts w:ascii="inherit" w:hAnsi="inherit" w:cs="Segoe UI"/>
                <w:spacing w:val="8"/>
                <w:sz w:val="21"/>
                <w:szCs w:val="21"/>
              </w:rPr>
              <w:t>）</w:t>
            </w:r>
          </w:p>
        </w:tc>
        <w:tc>
          <w:tcPr>
            <w:tcW w:w="0" w:type="auto"/>
            <w:tcBorders>
              <w:top w:val="nil"/>
              <w:left w:val="nil"/>
              <w:bottom w:val="nil"/>
              <w:right w:val="nil"/>
            </w:tcBorders>
            <w:shd w:val="clear" w:color="auto" w:fill="auto"/>
          </w:tcPr>
          <w:p w14:paraId="71193109" w14:textId="2111CDB4" w:rsidR="00116563" w:rsidRPr="00E700EA" w:rsidRDefault="00116563" w:rsidP="00116563">
            <w:pPr>
              <w:widowControl/>
              <w:spacing w:line="480" w:lineRule="auto"/>
              <w:jc w:val="center"/>
              <w:rPr>
                <w:sz w:val="21"/>
                <w:szCs w:val="20"/>
              </w:rPr>
            </w:pPr>
            <w:r>
              <w:rPr>
                <w:rFonts w:ascii="inherit" w:hAnsi="inherit" w:cs="Segoe UI"/>
                <w:spacing w:val="8"/>
                <w:sz w:val="21"/>
                <w:szCs w:val="21"/>
              </w:rPr>
              <w:t>6</w:t>
            </w:r>
          </w:p>
        </w:tc>
        <w:tc>
          <w:tcPr>
            <w:tcW w:w="0" w:type="auto"/>
            <w:tcBorders>
              <w:top w:val="nil"/>
              <w:left w:val="nil"/>
              <w:bottom w:val="nil"/>
              <w:right w:val="nil"/>
            </w:tcBorders>
          </w:tcPr>
          <w:p w14:paraId="6E7B0B7F" w14:textId="6CBA0D11" w:rsidR="00116563" w:rsidRPr="00E700EA" w:rsidRDefault="00116563" w:rsidP="00116563">
            <w:pPr>
              <w:widowControl/>
              <w:spacing w:line="480" w:lineRule="auto"/>
              <w:jc w:val="center"/>
              <w:rPr>
                <w:sz w:val="21"/>
                <w:szCs w:val="20"/>
              </w:rPr>
            </w:pPr>
            <w:r>
              <w:rPr>
                <w:rFonts w:ascii="inherit" w:hAnsi="inherit" w:cs="Segoe UI"/>
                <w:spacing w:val="8"/>
                <w:sz w:val="21"/>
                <w:szCs w:val="21"/>
              </w:rPr>
              <w:t>19</w:t>
            </w:r>
          </w:p>
        </w:tc>
        <w:tc>
          <w:tcPr>
            <w:tcW w:w="0" w:type="auto"/>
            <w:tcBorders>
              <w:top w:val="nil"/>
              <w:left w:val="nil"/>
              <w:bottom w:val="nil"/>
              <w:right w:val="nil"/>
            </w:tcBorders>
          </w:tcPr>
          <w:p w14:paraId="2D16C7EC" w14:textId="22BFE165"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–94%</w:t>
            </w:r>
          </w:p>
        </w:tc>
        <w:tc>
          <w:tcPr>
            <w:tcW w:w="0" w:type="auto"/>
            <w:tcBorders>
              <w:top w:val="nil"/>
              <w:left w:val="nil"/>
              <w:bottom w:val="nil"/>
              <w:right w:val="nil"/>
            </w:tcBorders>
          </w:tcPr>
          <w:p w14:paraId="22EF46EB" w14:textId="26820219" w:rsidR="00116563" w:rsidRPr="00E700EA" w:rsidRDefault="00116563" w:rsidP="00116563">
            <w:pPr>
              <w:widowControl/>
              <w:spacing w:line="240" w:lineRule="auto"/>
              <w:jc w:val="center"/>
              <w:rPr>
                <w:rFonts w:ascii="Helvetica" w:hAnsi="Helvetica" w:cs="Helvetica"/>
                <w:color w:val="333333"/>
                <w:sz w:val="21"/>
                <w:szCs w:val="20"/>
              </w:rPr>
            </w:pPr>
            <w:r>
              <w:rPr>
                <w:rFonts w:ascii="inherit" w:hAnsi="inherit" w:cs="Segoe UI"/>
                <w:spacing w:val="8"/>
                <w:sz w:val="21"/>
                <w:szCs w:val="21"/>
              </w:rPr>
              <w:t>特殊保险安排船舶为主</w:t>
            </w:r>
          </w:p>
        </w:tc>
      </w:tr>
      <w:tr w:rsidR="00116563" w:rsidRPr="00742CBA" w14:paraId="35E43CEC" w14:textId="5080656F" w:rsidTr="00116563">
        <w:trPr>
          <w:trHeight w:val="578"/>
        </w:trPr>
        <w:tc>
          <w:tcPr>
            <w:tcW w:w="0" w:type="auto"/>
            <w:tcBorders>
              <w:top w:val="nil"/>
              <w:left w:val="nil"/>
              <w:bottom w:val="nil"/>
              <w:right w:val="nil"/>
            </w:tcBorders>
            <w:shd w:val="clear" w:color="auto" w:fill="auto"/>
          </w:tcPr>
          <w:p w14:paraId="0FDB9CCC" w14:textId="77777777" w:rsidR="00116563" w:rsidRDefault="00116563" w:rsidP="00116563">
            <w:pPr>
              <w:widowControl/>
              <w:spacing w:line="240" w:lineRule="auto"/>
              <w:jc w:val="center"/>
              <w:rPr>
                <w:rFonts w:ascii="inherit" w:hAnsi="inherit" w:cs="Segoe UI"/>
                <w:spacing w:val="8"/>
                <w:sz w:val="21"/>
                <w:szCs w:val="21"/>
              </w:rPr>
            </w:pPr>
            <w:r>
              <w:rPr>
                <w:rFonts w:ascii="inherit" w:hAnsi="inherit" w:cs="Segoe UI"/>
                <w:spacing w:val="8"/>
                <w:sz w:val="21"/>
                <w:szCs w:val="21"/>
              </w:rPr>
              <w:t>恢复初期</w:t>
            </w:r>
          </w:p>
          <w:p w14:paraId="7E2DAFE4" w14:textId="2A18AE18" w:rsidR="00116563" w:rsidRPr="00E700EA" w:rsidRDefault="00116563" w:rsidP="00116563">
            <w:pPr>
              <w:widowControl/>
              <w:spacing w:line="240" w:lineRule="auto"/>
              <w:jc w:val="center"/>
              <w:rPr>
                <w:rFonts w:ascii="Helvetica" w:hAnsi="Helvetica" w:cs="Helvetica"/>
                <w:color w:val="333333"/>
                <w:sz w:val="21"/>
                <w:szCs w:val="20"/>
              </w:rPr>
            </w:pPr>
            <w:r>
              <w:rPr>
                <w:rFonts w:ascii="inherit" w:hAnsi="inherit" w:cs="Segoe UI"/>
                <w:spacing w:val="8"/>
                <w:sz w:val="21"/>
                <w:szCs w:val="21"/>
              </w:rPr>
              <w:t>（</w:t>
            </w:r>
            <w:r>
              <w:rPr>
                <w:rFonts w:ascii="inherit" w:hAnsi="inherit" w:cs="Segoe UI"/>
                <w:spacing w:val="8"/>
                <w:sz w:val="21"/>
                <w:szCs w:val="21"/>
              </w:rPr>
              <w:t>2026.6.1–20</w:t>
            </w:r>
            <w:r>
              <w:rPr>
                <w:rFonts w:ascii="inherit" w:hAnsi="inherit" w:cs="Segoe UI"/>
                <w:spacing w:val="8"/>
                <w:sz w:val="21"/>
                <w:szCs w:val="21"/>
              </w:rPr>
              <w:t>）</w:t>
            </w:r>
          </w:p>
        </w:tc>
        <w:tc>
          <w:tcPr>
            <w:tcW w:w="0" w:type="auto"/>
            <w:tcBorders>
              <w:top w:val="nil"/>
              <w:left w:val="nil"/>
              <w:bottom w:val="nil"/>
              <w:right w:val="nil"/>
            </w:tcBorders>
            <w:shd w:val="clear" w:color="auto" w:fill="auto"/>
          </w:tcPr>
          <w:p w14:paraId="39C1C24D" w14:textId="6B21EA01"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9</w:t>
            </w:r>
          </w:p>
        </w:tc>
        <w:tc>
          <w:tcPr>
            <w:tcW w:w="0" w:type="auto"/>
            <w:tcBorders>
              <w:top w:val="nil"/>
              <w:left w:val="nil"/>
              <w:bottom w:val="nil"/>
              <w:right w:val="nil"/>
            </w:tcBorders>
          </w:tcPr>
          <w:p w14:paraId="5947E335" w14:textId="1E5AC6BC"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25</w:t>
            </w:r>
          </w:p>
        </w:tc>
        <w:tc>
          <w:tcPr>
            <w:tcW w:w="0" w:type="auto"/>
            <w:tcBorders>
              <w:top w:val="nil"/>
              <w:left w:val="nil"/>
              <w:bottom w:val="nil"/>
              <w:right w:val="nil"/>
            </w:tcBorders>
          </w:tcPr>
          <w:p w14:paraId="52482DF9" w14:textId="3636AF6B" w:rsidR="00116563" w:rsidRPr="00E700EA" w:rsidRDefault="00116563" w:rsidP="00116563">
            <w:pPr>
              <w:widowControl/>
              <w:spacing w:line="480" w:lineRule="auto"/>
              <w:jc w:val="center"/>
              <w:rPr>
                <w:rFonts w:ascii="Helvetica" w:hAnsi="Helvetica" w:cs="Helvetica" w:hint="eastAsia"/>
                <w:color w:val="333333"/>
                <w:sz w:val="21"/>
                <w:szCs w:val="20"/>
              </w:rPr>
            </w:pPr>
            <w:r>
              <w:rPr>
                <w:rFonts w:ascii="inherit" w:hAnsi="inherit" w:cs="Segoe UI"/>
                <w:spacing w:val="8"/>
                <w:sz w:val="21"/>
                <w:szCs w:val="21"/>
              </w:rPr>
              <w:t>–92%</w:t>
            </w:r>
          </w:p>
        </w:tc>
        <w:tc>
          <w:tcPr>
            <w:tcW w:w="0" w:type="auto"/>
            <w:tcBorders>
              <w:top w:val="nil"/>
              <w:left w:val="nil"/>
              <w:bottom w:val="nil"/>
              <w:right w:val="nil"/>
            </w:tcBorders>
          </w:tcPr>
          <w:p w14:paraId="68C038C6" w14:textId="206DF5A0" w:rsidR="00116563" w:rsidRPr="00E700EA" w:rsidRDefault="00116563" w:rsidP="00116563">
            <w:pPr>
              <w:widowControl/>
              <w:spacing w:line="480" w:lineRule="auto"/>
              <w:jc w:val="center"/>
              <w:rPr>
                <w:rFonts w:ascii="Helvetica" w:hAnsi="Helvetica" w:cs="Helvetica" w:hint="eastAsia"/>
                <w:color w:val="333333"/>
                <w:sz w:val="21"/>
                <w:szCs w:val="20"/>
              </w:rPr>
            </w:pPr>
            <w:r>
              <w:rPr>
                <w:rFonts w:ascii="inherit" w:hAnsi="inherit" w:cs="Segoe UI"/>
                <w:spacing w:val="8"/>
                <w:sz w:val="21"/>
                <w:szCs w:val="21"/>
              </w:rPr>
              <w:t>试探性复航</w:t>
            </w:r>
          </w:p>
        </w:tc>
      </w:tr>
      <w:tr w:rsidR="00116563" w:rsidRPr="00742CBA" w14:paraId="3BEBDFD5" w14:textId="314F01E3" w:rsidTr="00116563">
        <w:trPr>
          <w:trHeight w:val="362"/>
        </w:trPr>
        <w:tc>
          <w:tcPr>
            <w:tcW w:w="0" w:type="auto"/>
            <w:tcBorders>
              <w:top w:val="nil"/>
              <w:left w:val="nil"/>
              <w:bottom w:val="single" w:sz="12" w:space="0" w:color="auto"/>
              <w:right w:val="nil"/>
            </w:tcBorders>
            <w:shd w:val="clear" w:color="auto" w:fill="auto"/>
            <w:hideMark/>
          </w:tcPr>
          <w:p w14:paraId="613F8751" w14:textId="77777777" w:rsidR="00116563" w:rsidRDefault="00116563" w:rsidP="00116563">
            <w:pPr>
              <w:widowControl/>
              <w:spacing w:line="240" w:lineRule="auto"/>
              <w:jc w:val="center"/>
              <w:rPr>
                <w:rFonts w:ascii="inherit" w:hAnsi="inherit" w:cs="Segoe UI"/>
                <w:spacing w:val="8"/>
                <w:sz w:val="21"/>
                <w:szCs w:val="21"/>
              </w:rPr>
            </w:pPr>
            <w:r>
              <w:rPr>
                <w:rFonts w:ascii="inherit" w:hAnsi="inherit" w:cs="Segoe UI"/>
                <w:spacing w:val="8"/>
                <w:sz w:val="21"/>
                <w:szCs w:val="21"/>
              </w:rPr>
              <w:t>恢复加速</w:t>
            </w:r>
          </w:p>
          <w:p w14:paraId="10020D51" w14:textId="771AFBEC" w:rsidR="00116563" w:rsidRPr="00E700EA" w:rsidRDefault="00116563" w:rsidP="00116563">
            <w:pPr>
              <w:widowControl/>
              <w:spacing w:line="240" w:lineRule="auto"/>
              <w:jc w:val="center"/>
              <w:rPr>
                <w:color w:val="000000"/>
                <w:kern w:val="0"/>
                <w:sz w:val="21"/>
                <w:szCs w:val="20"/>
              </w:rPr>
            </w:pPr>
            <w:r>
              <w:rPr>
                <w:rFonts w:ascii="inherit" w:hAnsi="inherit" w:cs="Segoe UI"/>
                <w:spacing w:val="8"/>
                <w:sz w:val="21"/>
                <w:szCs w:val="21"/>
              </w:rPr>
              <w:t>（</w:t>
            </w:r>
            <w:r>
              <w:rPr>
                <w:rFonts w:ascii="inherit" w:hAnsi="inherit" w:cs="Segoe UI"/>
                <w:spacing w:val="8"/>
                <w:sz w:val="21"/>
                <w:szCs w:val="21"/>
              </w:rPr>
              <w:t>2026.6.21–30</w:t>
            </w:r>
            <w:r>
              <w:rPr>
                <w:rFonts w:ascii="inherit" w:hAnsi="inherit" w:cs="Segoe UI"/>
                <w:spacing w:val="8"/>
                <w:sz w:val="21"/>
                <w:szCs w:val="21"/>
              </w:rPr>
              <w:t>）</w:t>
            </w:r>
          </w:p>
        </w:tc>
        <w:tc>
          <w:tcPr>
            <w:tcW w:w="0" w:type="auto"/>
            <w:tcBorders>
              <w:top w:val="nil"/>
              <w:left w:val="nil"/>
              <w:bottom w:val="single" w:sz="12" w:space="0" w:color="auto"/>
              <w:right w:val="nil"/>
            </w:tcBorders>
            <w:shd w:val="clear" w:color="auto" w:fill="auto"/>
          </w:tcPr>
          <w:p w14:paraId="39C59F43" w14:textId="18B68274" w:rsidR="00116563" w:rsidRPr="00E700EA" w:rsidRDefault="00116563" w:rsidP="00116563">
            <w:pPr>
              <w:widowControl/>
              <w:spacing w:line="480" w:lineRule="auto"/>
              <w:jc w:val="center"/>
              <w:rPr>
                <w:color w:val="000000"/>
                <w:kern w:val="0"/>
                <w:sz w:val="21"/>
                <w:szCs w:val="20"/>
              </w:rPr>
            </w:pPr>
            <w:r>
              <w:rPr>
                <w:rFonts w:ascii="inherit" w:hAnsi="inherit" w:cs="Segoe UI"/>
                <w:spacing w:val="8"/>
                <w:sz w:val="21"/>
                <w:szCs w:val="21"/>
              </w:rPr>
              <w:t>28</w:t>
            </w:r>
          </w:p>
        </w:tc>
        <w:tc>
          <w:tcPr>
            <w:tcW w:w="0" w:type="auto"/>
            <w:tcBorders>
              <w:top w:val="nil"/>
              <w:left w:val="nil"/>
              <w:bottom w:val="single" w:sz="12" w:space="0" w:color="auto"/>
              <w:right w:val="nil"/>
            </w:tcBorders>
          </w:tcPr>
          <w:p w14:paraId="6D7BA813" w14:textId="131C680B" w:rsidR="00116563" w:rsidRPr="00E700EA" w:rsidRDefault="00116563" w:rsidP="00116563">
            <w:pPr>
              <w:widowControl/>
              <w:spacing w:line="480" w:lineRule="auto"/>
              <w:jc w:val="center"/>
              <w:rPr>
                <w:sz w:val="21"/>
                <w:szCs w:val="20"/>
              </w:rPr>
            </w:pPr>
            <w:r>
              <w:rPr>
                <w:rFonts w:ascii="inherit" w:hAnsi="inherit" w:cs="Segoe UI"/>
                <w:spacing w:val="8"/>
                <w:sz w:val="21"/>
                <w:szCs w:val="21"/>
              </w:rPr>
              <w:t>119</w:t>
            </w:r>
          </w:p>
        </w:tc>
        <w:tc>
          <w:tcPr>
            <w:tcW w:w="0" w:type="auto"/>
            <w:tcBorders>
              <w:top w:val="nil"/>
              <w:left w:val="nil"/>
              <w:bottom w:val="single" w:sz="12" w:space="0" w:color="auto"/>
              <w:right w:val="nil"/>
            </w:tcBorders>
          </w:tcPr>
          <w:p w14:paraId="675A764B" w14:textId="3B1BC96B"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–65%</w:t>
            </w:r>
          </w:p>
        </w:tc>
        <w:tc>
          <w:tcPr>
            <w:tcW w:w="0" w:type="auto"/>
            <w:tcBorders>
              <w:top w:val="nil"/>
              <w:left w:val="nil"/>
              <w:bottom w:val="single" w:sz="12" w:space="0" w:color="auto"/>
              <w:right w:val="nil"/>
            </w:tcBorders>
          </w:tcPr>
          <w:p w14:paraId="3F0821E7" w14:textId="23110B96" w:rsidR="00116563" w:rsidRPr="00E700EA" w:rsidRDefault="00116563" w:rsidP="00116563">
            <w:pPr>
              <w:widowControl/>
              <w:spacing w:line="480" w:lineRule="auto"/>
              <w:jc w:val="center"/>
              <w:rPr>
                <w:rFonts w:ascii="Helvetica" w:hAnsi="Helvetica" w:cs="Helvetica"/>
                <w:color w:val="333333"/>
                <w:sz w:val="21"/>
                <w:szCs w:val="20"/>
              </w:rPr>
            </w:pPr>
            <w:r>
              <w:rPr>
                <w:rFonts w:ascii="inherit" w:hAnsi="inherit" w:cs="Segoe UI"/>
                <w:spacing w:val="8"/>
                <w:sz w:val="21"/>
                <w:szCs w:val="21"/>
              </w:rPr>
              <w:t>大型船舶集中返航</w:t>
            </w:r>
          </w:p>
        </w:tc>
      </w:tr>
    </w:tbl>
    <w:p w14:paraId="0694488A" w14:textId="28F95054" w:rsidR="00116563" w:rsidRPr="00116563" w:rsidRDefault="009F1E4B" w:rsidP="009F1E4B">
      <w:pPr>
        <w:spacing w:before="240"/>
        <w:rPr>
          <w:rFonts w:hint="eastAsia"/>
        </w:rPr>
      </w:pPr>
      <w:r>
        <w:tab/>
      </w:r>
      <w:r w:rsidR="001E485F" w:rsidRPr="001E485F">
        <w:rPr>
          <w:rFonts w:hint="eastAsia"/>
        </w:rPr>
        <w:t>这一崩塌并非航道物理阻断，而是航运市场集体避险的结果：战争风险保险费率飙升、海员高风险警告、港口服务中断共同推动全船型系统性撤离。</w:t>
      </w:r>
    </w:p>
    <w:p w14:paraId="7D86DB88" w14:textId="0E56C31C" w:rsidR="00432A03" w:rsidRDefault="00432A03" w:rsidP="00432A03">
      <w:pPr>
        <w:pStyle w:val="3"/>
      </w:pPr>
      <w:r w:rsidRPr="00432A03">
        <w:t xml:space="preserve">4.2 </w:t>
      </w:r>
      <w:r w:rsidRPr="00432A03">
        <w:t>船舶行为模式转变</w:t>
      </w:r>
    </w:p>
    <w:p w14:paraId="42395ABD" w14:textId="0F95EA38" w:rsidR="00BE78E6" w:rsidRPr="00BE78E6" w:rsidRDefault="00BE78E6" w:rsidP="00BE78E6">
      <w:pPr>
        <w:rPr>
          <w:rFonts w:hint="eastAsia"/>
        </w:rPr>
      </w:pPr>
      <w:r>
        <w:tab/>
      </w:r>
      <w:r w:rsidRPr="00BE78E6">
        <w:rPr>
          <w:rFonts w:hint="eastAsia"/>
        </w:rPr>
        <w:t>对比霍尔木兹海峡及全球关键航道的四象限热力图，霍尔木兹封锁引发了船舶行为从“效率优先的单通道通过”向“风险规避的多元空间重构”的系统性转变，具体表现为主通道规避、替代通道激活、关联通道收缩三类行为模式。</w:t>
      </w:r>
    </w:p>
    <w:p w14:paraId="0AE9C278" w14:textId="43FD1F48" w:rsidR="00BE78E6" w:rsidRPr="005313DD" w:rsidRDefault="00BE78E6" w:rsidP="00432A03">
      <w:pPr>
        <w:rPr>
          <w:rFonts w:hint="eastAsia"/>
          <w:noProof/>
        </w:rPr>
      </w:pPr>
      <w:r>
        <w:rPr>
          <w:noProof/>
        </w:rPr>
        <w:drawing>
          <wp:anchor distT="0" distB="0" distL="114300" distR="114300" simplePos="0" relativeHeight="251663360" behindDoc="0" locked="0" layoutInCell="1" allowOverlap="1" wp14:anchorId="1FF5785E" wp14:editId="6019AABF">
            <wp:simplePos x="1144222" y="5799350"/>
            <wp:positionH relativeFrom="column">
              <wp:align>center</wp:align>
            </wp:positionH>
            <wp:positionV relativeFrom="paragraph">
              <wp:posOffset>0</wp:posOffset>
            </wp:positionV>
            <wp:extent cx="4860000" cy="324000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ab/>
      </w:r>
      <w:r w:rsidR="001E485F" w:rsidRPr="001E485F">
        <w:rPr>
          <w:rFonts w:hint="eastAsia"/>
          <w:noProof/>
        </w:rPr>
        <w:t>霍尔木兹封锁引发全球船舶行为三元重构：本地主航道转为</w:t>
      </w:r>
      <w:r w:rsidR="001E485F" w:rsidRPr="001E485F">
        <w:rPr>
          <w:rFonts w:hint="eastAsia"/>
          <w:noProof/>
        </w:rPr>
        <w:t>"</w:t>
      </w:r>
      <w:r w:rsidR="001E485F" w:rsidRPr="001E485F">
        <w:rPr>
          <w:rFonts w:hint="eastAsia"/>
          <w:noProof/>
        </w:rPr>
        <w:t>西留东等</w:t>
      </w:r>
      <w:r w:rsidR="001E485F" w:rsidRPr="001E485F">
        <w:rPr>
          <w:rFonts w:hint="eastAsia"/>
          <w:noProof/>
        </w:rPr>
        <w:t>"</w:t>
      </w:r>
      <w:r w:rsidR="001E485F" w:rsidRPr="001E485F">
        <w:rPr>
          <w:rFonts w:hint="eastAsia"/>
          <w:noProof/>
        </w:rPr>
        <w:t>格局，西侧波斯湾内部滞留锚泊，东侧阿曼湾外围漂航等待；替代通道方面，好望角密度与运力同步跃升，承接绕行能源运输；关联通道苏伊士与马六甲的能源船舶热点收缩，非能源船舶仍维持通行。这一转变本质是航运网络从效率最大化向风险最小化的适应性演化</w:t>
      </w:r>
      <w:r w:rsidRPr="00BE78E6">
        <w:rPr>
          <w:rFonts w:hint="eastAsia"/>
          <w:noProof/>
        </w:rPr>
        <w:t>。</w:t>
      </w:r>
    </w:p>
    <w:p w14:paraId="1D5C409A" w14:textId="1C2E2A75" w:rsidR="00432A03" w:rsidRDefault="00686CD2" w:rsidP="00432A03">
      <w:pPr>
        <w:pStyle w:val="3"/>
      </w:pPr>
      <w:r>
        <w:lastRenderedPageBreak/>
        <w:t>4</w:t>
      </w:r>
      <w:r w:rsidR="00432A03" w:rsidRPr="00432A03">
        <w:rPr>
          <w:rFonts w:hint="eastAsia"/>
        </w:rPr>
        <w:t xml:space="preserve">.3 </w:t>
      </w:r>
      <w:r w:rsidR="00432A03" w:rsidRPr="00432A03">
        <w:rPr>
          <w:rFonts w:hint="eastAsia"/>
        </w:rPr>
        <w:t>不同船型影响对比</w:t>
      </w:r>
    </w:p>
    <w:p w14:paraId="66761744" w14:textId="213D4FA0" w:rsidR="00BA7D45" w:rsidRDefault="00BA7D45" w:rsidP="00432A03">
      <w:r>
        <w:rPr>
          <w:noProof/>
        </w:rPr>
        <w:tab/>
      </w:r>
      <w:r w:rsidRPr="00BA7D45">
        <w:rPr>
          <w:rFonts w:hint="eastAsia"/>
        </w:rPr>
        <w:t>从四海峡过境船舶数与贸易量的堆叠对比可见，油轮是封锁冲击下重构最为剧烈的船型。霍尔木兹海峡油轮日均到港量从封锁前的绝对主力骤降至近乎清零，直接印证能源主通道的阻断效应。好望角则成为主要承接方，油轮占</w:t>
      </w:r>
      <w:proofErr w:type="gramStart"/>
      <w:r w:rsidRPr="00BA7D45">
        <w:rPr>
          <w:rFonts w:hint="eastAsia"/>
        </w:rPr>
        <w:t>比显著</w:t>
      </w:r>
      <w:proofErr w:type="gramEnd"/>
      <w:r w:rsidRPr="00BA7D45">
        <w:rPr>
          <w:rFonts w:hint="eastAsia"/>
        </w:rPr>
        <w:t>抬升，贸易量维持</w:t>
      </w:r>
      <w:r w:rsidR="00806596">
        <w:rPr>
          <w:rFonts w:hint="eastAsia"/>
        </w:rPr>
        <w:t>在</w:t>
      </w:r>
      <w:r w:rsidRPr="00BA7D45">
        <w:rPr>
          <w:rFonts w:hint="eastAsia"/>
        </w:rPr>
        <w:t>高位，表明中东—欧洲</w:t>
      </w:r>
      <w:r w:rsidRPr="00BA7D45">
        <w:rPr>
          <w:rFonts w:hint="eastAsia"/>
        </w:rPr>
        <w:t>/</w:t>
      </w:r>
      <w:r w:rsidRPr="00BA7D45">
        <w:rPr>
          <w:rFonts w:hint="eastAsia"/>
        </w:rPr>
        <w:t>美洲的能源贸易已通过绕行完成替代。马六甲与苏伊士的油轮过境量虽绝对值不高，但苏伊士油轮在</w:t>
      </w:r>
      <w:r w:rsidRPr="00BA7D45">
        <w:rPr>
          <w:rFonts w:hint="eastAsia"/>
        </w:rPr>
        <w:t>2026</w:t>
      </w:r>
      <w:r w:rsidRPr="00BA7D45">
        <w:rPr>
          <w:rFonts w:hint="eastAsia"/>
        </w:rPr>
        <w:t>年出现温和增长，反映非中东货源的能源流仍维持西向通行。</w:t>
      </w:r>
    </w:p>
    <w:p w14:paraId="74E1E7AA" w14:textId="70A02E43" w:rsidR="00BA7D45" w:rsidRDefault="00806596" w:rsidP="00432A03">
      <w:r w:rsidRPr="00BA7D45">
        <w:rPr>
          <w:noProof/>
        </w:rPr>
        <w:drawing>
          <wp:anchor distT="0" distB="0" distL="114300" distR="114300" simplePos="0" relativeHeight="251666432" behindDoc="0" locked="0" layoutInCell="1" allowOverlap="1" wp14:anchorId="1E4FC36E" wp14:editId="0F67CB90">
            <wp:simplePos x="0" y="0"/>
            <wp:positionH relativeFrom="column">
              <wp:align>center</wp:align>
            </wp:positionH>
            <wp:positionV relativeFrom="paragraph">
              <wp:posOffset>4500880</wp:posOffset>
            </wp:positionV>
            <wp:extent cx="3960000" cy="2080800"/>
            <wp:effectExtent l="0" t="0" r="254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alphaModFix amt="85000"/>
                      <a:extLst>
                        <a:ext uri="{28A0092B-C50C-407E-A947-70E740481C1C}">
                          <a14:useLocalDpi xmlns:a14="http://schemas.microsoft.com/office/drawing/2010/main" val="0"/>
                        </a:ext>
                      </a:extLst>
                    </a:blip>
                    <a:stretch>
                      <a:fillRect/>
                    </a:stretch>
                  </pic:blipFill>
                  <pic:spPr>
                    <a:xfrm>
                      <a:off x="0" y="0"/>
                      <a:ext cx="3960000" cy="2080800"/>
                    </a:xfrm>
                    <a:prstGeom prst="rect">
                      <a:avLst/>
                    </a:prstGeom>
                  </pic:spPr>
                </pic:pic>
              </a:graphicData>
            </a:graphic>
            <wp14:sizeRelH relativeFrom="margin">
              <wp14:pctWidth>0</wp14:pctWidth>
            </wp14:sizeRelH>
            <wp14:sizeRelV relativeFrom="margin">
              <wp14:pctHeight>0</wp14:pctHeight>
            </wp14:sizeRelV>
          </wp:anchor>
        </w:drawing>
      </w:r>
      <w:r w:rsidR="00BA7D45">
        <w:rPr>
          <w:noProof/>
        </w:rPr>
        <w:drawing>
          <wp:anchor distT="0" distB="0" distL="114300" distR="114300" simplePos="0" relativeHeight="251665408" behindDoc="0" locked="0" layoutInCell="1" allowOverlap="1" wp14:anchorId="6151D292" wp14:editId="765FC80F">
            <wp:simplePos x="0" y="0"/>
            <wp:positionH relativeFrom="column">
              <wp:align>center</wp:align>
            </wp:positionH>
            <wp:positionV relativeFrom="paragraph">
              <wp:posOffset>0</wp:posOffset>
            </wp:positionV>
            <wp:extent cx="3960000" cy="2671200"/>
            <wp:effectExtent l="0" t="0" r="254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0000" cy="267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7D45">
        <w:tab/>
      </w:r>
      <w:r w:rsidR="00BA7D45" w:rsidRPr="00BA7D45">
        <w:rPr>
          <w:rFonts w:hint="eastAsia"/>
        </w:rPr>
        <w:t>热力图进一步量化了油轮变化的极端不对称性。霍尔木兹油轮降幅达–</w:t>
      </w:r>
      <w:r w:rsidR="00BA7D45" w:rsidRPr="00BA7D45">
        <w:rPr>
          <w:rFonts w:hint="eastAsia"/>
        </w:rPr>
        <w:t>96%</w:t>
      </w:r>
      <w:r w:rsidR="00BA7D45" w:rsidRPr="00BA7D45">
        <w:rPr>
          <w:rFonts w:hint="eastAsia"/>
        </w:rPr>
        <w:t>，与集装箱、滚装船同处深红区间，说明封锁对能源运输的杀伤具有无差别性。好望角油轮增幅</w:t>
      </w:r>
      <w:r w:rsidR="00BA7D45" w:rsidRPr="00BA7D45">
        <w:rPr>
          <w:rFonts w:hint="eastAsia"/>
        </w:rPr>
        <w:t>+27%</w:t>
      </w:r>
      <w:r w:rsidR="00BA7D45" w:rsidRPr="00BA7D45">
        <w:rPr>
          <w:rFonts w:hint="eastAsia"/>
        </w:rPr>
        <w:t>，为所有船型中最高，印证替代通道的能源承接功能。马六甲油轮–</w:t>
      </w:r>
      <w:r w:rsidR="00BA7D45" w:rsidRPr="00BA7D45">
        <w:rPr>
          <w:rFonts w:hint="eastAsia"/>
        </w:rPr>
        <w:t>7%</w:t>
      </w:r>
      <w:r w:rsidR="00BA7D45" w:rsidRPr="00BA7D45">
        <w:rPr>
          <w:rFonts w:hint="eastAsia"/>
        </w:rPr>
        <w:t>、苏伊士油轮</w:t>
      </w:r>
      <w:r w:rsidR="00BA7D45" w:rsidRPr="00BA7D45">
        <w:rPr>
          <w:rFonts w:hint="eastAsia"/>
        </w:rPr>
        <w:t xml:space="preserve">+20% </w:t>
      </w:r>
      <w:r w:rsidR="00BA7D45" w:rsidRPr="00BA7D45">
        <w:rPr>
          <w:rFonts w:hint="eastAsia"/>
        </w:rPr>
        <w:t>的分化，则揭示下游关联通道的能源退潮并非线性传导——马六甲因中东—东亚航线萎缩而小幅下滑，苏伊士则因双向货源结构与低基数效应呈现逆势增长。</w:t>
      </w:r>
    </w:p>
    <w:p w14:paraId="381BAE0E" w14:textId="048537BB" w:rsidR="001513ED" w:rsidRPr="001513ED" w:rsidRDefault="00686CD2" w:rsidP="000F1A81">
      <w:pPr>
        <w:pStyle w:val="2"/>
        <w:rPr>
          <w:rFonts w:hint="eastAsia"/>
        </w:rPr>
      </w:pPr>
      <w:r>
        <w:rPr>
          <w:rFonts w:hint="eastAsia"/>
        </w:rPr>
        <w:lastRenderedPageBreak/>
        <w:t>五</w:t>
      </w:r>
      <w:r w:rsidR="00432A03" w:rsidRPr="00432A03">
        <w:rPr>
          <w:rFonts w:hint="eastAsia"/>
        </w:rPr>
        <w:t>、全球能源</w:t>
      </w:r>
      <w:r w:rsidR="006820CF">
        <w:rPr>
          <w:rFonts w:hint="eastAsia"/>
        </w:rPr>
        <w:t>贸易</w:t>
      </w:r>
      <w:r w:rsidR="00432A03" w:rsidRPr="00432A03">
        <w:rPr>
          <w:rFonts w:hint="eastAsia"/>
        </w:rPr>
        <w:t>网络重构</w:t>
      </w:r>
    </w:p>
    <w:p w14:paraId="742B838B" w14:textId="75F25665" w:rsidR="00CB7249" w:rsidRDefault="00686CD2" w:rsidP="00CB7249">
      <w:pPr>
        <w:pStyle w:val="3"/>
      </w:pPr>
      <w:r>
        <w:t>5</w:t>
      </w:r>
      <w:r w:rsidR="00CB7249" w:rsidRPr="00432A03">
        <w:rPr>
          <w:rFonts w:hint="eastAsia"/>
        </w:rPr>
        <w:t>.</w:t>
      </w:r>
      <w:r w:rsidR="00EC02B4">
        <w:t>1</w:t>
      </w:r>
      <w:r w:rsidR="00CB7249" w:rsidRPr="00432A03">
        <w:rPr>
          <w:rFonts w:hint="eastAsia"/>
        </w:rPr>
        <w:t xml:space="preserve"> </w:t>
      </w:r>
      <w:r w:rsidR="00CB7249" w:rsidRPr="00CB7249">
        <w:rPr>
          <w:rFonts w:hint="eastAsia"/>
        </w:rPr>
        <w:t>国际原油价格变化</w:t>
      </w:r>
    </w:p>
    <w:p w14:paraId="68C834ED" w14:textId="667D8AED" w:rsidR="001513ED" w:rsidRDefault="00CE52EE" w:rsidP="001513ED">
      <w:r>
        <w:tab/>
      </w:r>
      <w:r w:rsidRPr="00CE52EE">
        <w:rPr>
          <w:rFonts w:hint="eastAsia"/>
        </w:rPr>
        <w:t>BDTI</w:t>
      </w:r>
      <w:r w:rsidRPr="00CE52EE">
        <w:rPr>
          <w:rFonts w:hint="eastAsia"/>
        </w:rPr>
        <w:t>在</w:t>
      </w:r>
      <w:r w:rsidRPr="00CE52EE">
        <w:rPr>
          <w:rFonts w:hint="eastAsia"/>
        </w:rPr>
        <w:t>2025</w:t>
      </w:r>
      <w:r w:rsidRPr="00CE52EE">
        <w:rPr>
          <w:rFonts w:hint="eastAsia"/>
        </w:rPr>
        <w:t>年维持低位震荡，全年围绕</w:t>
      </w:r>
      <w:r w:rsidRPr="00CE52EE">
        <w:rPr>
          <w:rFonts w:hint="eastAsia"/>
        </w:rPr>
        <w:t xml:space="preserve"> 900</w:t>
      </w:r>
      <w:r w:rsidRPr="00CE52EE">
        <w:rPr>
          <w:rFonts w:hint="eastAsia"/>
        </w:rPr>
        <w:t>–</w:t>
      </w:r>
      <w:r w:rsidRPr="00CE52EE">
        <w:rPr>
          <w:rFonts w:hint="eastAsia"/>
        </w:rPr>
        <w:t xml:space="preserve">1200 </w:t>
      </w:r>
      <w:r w:rsidRPr="00CE52EE">
        <w:rPr>
          <w:rFonts w:hint="eastAsia"/>
        </w:rPr>
        <w:t>点区间波动，反映原油海运运力供需基本平衡。进入</w:t>
      </w:r>
      <w:r w:rsidRPr="00CE52EE">
        <w:rPr>
          <w:rFonts w:hint="eastAsia"/>
        </w:rPr>
        <w:t>2026</w:t>
      </w:r>
      <w:r w:rsidRPr="00CE52EE">
        <w:rPr>
          <w:rFonts w:hint="eastAsia"/>
        </w:rPr>
        <w:t>年，指数自年初开始缓慢爬升，在霍尔木兹封锁催化下于</w:t>
      </w:r>
      <w:r w:rsidRPr="00CE52EE">
        <w:rPr>
          <w:rFonts w:hint="eastAsia"/>
        </w:rPr>
        <w:t xml:space="preserve"> 3</w:t>
      </w:r>
      <w:r w:rsidRPr="00CE52EE">
        <w:rPr>
          <w:rFonts w:hint="eastAsia"/>
        </w:rPr>
        <w:t>–</w:t>
      </w:r>
      <w:r w:rsidRPr="00CE52EE">
        <w:rPr>
          <w:rFonts w:hint="eastAsia"/>
        </w:rPr>
        <w:t xml:space="preserve">4 </w:t>
      </w:r>
      <w:r w:rsidRPr="00CE52EE">
        <w:rPr>
          <w:rFonts w:hint="eastAsia"/>
        </w:rPr>
        <w:t>月急剧飙升至近</w:t>
      </w:r>
      <w:r w:rsidRPr="00CE52EE">
        <w:rPr>
          <w:rFonts w:hint="eastAsia"/>
        </w:rPr>
        <w:t xml:space="preserve"> 3700 </w:t>
      </w:r>
      <w:r w:rsidRPr="00CE52EE">
        <w:rPr>
          <w:rFonts w:hint="eastAsia"/>
        </w:rPr>
        <w:t>点的历史高位，随后高位回落但仍显著高于</w:t>
      </w:r>
      <w:r w:rsidRPr="00CE52EE">
        <w:rPr>
          <w:rFonts w:hint="eastAsia"/>
        </w:rPr>
        <w:t xml:space="preserve"> 2025 </w:t>
      </w:r>
      <w:r w:rsidRPr="00CE52EE">
        <w:rPr>
          <w:rFonts w:hint="eastAsia"/>
        </w:rPr>
        <w:t>年均值。运价的剧烈脉冲直接印证了封锁导致的油轮航线重构——绕行好望角显著拉长单航次周转时间，市场可用运力阶段性收紧，推升了原油海运成本。</w:t>
      </w:r>
    </w:p>
    <w:p w14:paraId="3B16BC4A" w14:textId="72536BF6" w:rsidR="00EC02B4" w:rsidRDefault="00CE52EE" w:rsidP="001513ED">
      <w:r>
        <w:rPr>
          <w:noProof/>
        </w:rPr>
        <w:drawing>
          <wp:anchor distT="0" distB="0" distL="114300" distR="114300" simplePos="0" relativeHeight="251667456" behindDoc="0" locked="0" layoutInCell="1" allowOverlap="1" wp14:anchorId="079D7D64" wp14:editId="60FBB65F">
            <wp:simplePos x="1146517" y="3889717"/>
            <wp:positionH relativeFrom="column">
              <wp:align>center</wp:align>
            </wp:positionH>
            <wp:positionV relativeFrom="paragraph">
              <wp:posOffset>0</wp:posOffset>
            </wp:positionV>
            <wp:extent cx="4320000" cy="2970000"/>
            <wp:effectExtent l="0" t="0" r="4445" b="190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0000" cy="29700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sidRPr="00CE52EE">
        <w:rPr>
          <w:rFonts w:hint="eastAsia"/>
        </w:rPr>
        <w:t>国际原油现货价格在</w:t>
      </w:r>
      <w:r w:rsidRPr="00CE52EE">
        <w:rPr>
          <w:rFonts w:hint="eastAsia"/>
        </w:rPr>
        <w:t>2026</w:t>
      </w:r>
      <w:r w:rsidRPr="00CE52EE">
        <w:rPr>
          <w:rFonts w:hint="eastAsia"/>
        </w:rPr>
        <w:t>年</w:t>
      </w:r>
      <w:r w:rsidRPr="00CE52EE">
        <w:rPr>
          <w:rFonts w:hint="eastAsia"/>
        </w:rPr>
        <w:t>3</w:t>
      </w:r>
      <w:r w:rsidRPr="00CE52EE">
        <w:rPr>
          <w:rFonts w:hint="eastAsia"/>
        </w:rPr>
        <w:t>–</w:t>
      </w:r>
      <w:r w:rsidRPr="00CE52EE">
        <w:rPr>
          <w:rFonts w:hint="eastAsia"/>
        </w:rPr>
        <w:t>4</w:t>
      </w:r>
      <w:r w:rsidRPr="00CE52EE">
        <w:rPr>
          <w:rFonts w:hint="eastAsia"/>
        </w:rPr>
        <w:t>月同步出现剧烈冲击。</w:t>
      </w:r>
      <w:r w:rsidRPr="00CE52EE">
        <w:rPr>
          <w:rFonts w:hint="eastAsia"/>
        </w:rPr>
        <w:t xml:space="preserve">Brent </w:t>
      </w:r>
      <w:r w:rsidRPr="00CE52EE">
        <w:rPr>
          <w:rFonts w:hint="eastAsia"/>
        </w:rPr>
        <w:t>与</w:t>
      </w:r>
      <w:r w:rsidRPr="00CE52EE">
        <w:rPr>
          <w:rFonts w:hint="eastAsia"/>
        </w:rPr>
        <w:t xml:space="preserve"> WTI </w:t>
      </w:r>
      <w:r w:rsidRPr="00CE52EE">
        <w:rPr>
          <w:rFonts w:hint="eastAsia"/>
        </w:rPr>
        <w:t>在</w:t>
      </w:r>
      <w:r w:rsidRPr="00CE52EE">
        <w:rPr>
          <w:rFonts w:hint="eastAsia"/>
        </w:rPr>
        <w:t>2025</w:t>
      </w:r>
      <w:r w:rsidRPr="00CE52EE">
        <w:rPr>
          <w:rFonts w:hint="eastAsia"/>
        </w:rPr>
        <w:t>年整体运行于</w:t>
      </w:r>
      <w:r w:rsidRPr="00CE52EE">
        <w:rPr>
          <w:rFonts w:hint="eastAsia"/>
        </w:rPr>
        <w:t xml:space="preserve"> 60</w:t>
      </w:r>
      <w:r w:rsidRPr="00CE52EE">
        <w:rPr>
          <w:rFonts w:hint="eastAsia"/>
        </w:rPr>
        <w:t>–</w:t>
      </w:r>
      <w:r w:rsidRPr="00CE52EE">
        <w:rPr>
          <w:rFonts w:hint="eastAsia"/>
        </w:rPr>
        <w:t xml:space="preserve">80 </w:t>
      </w:r>
      <w:r w:rsidRPr="00CE52EE">
        <w:rPr>
          <w:rFonts w:hint="eastAsia"/>
        </w:rPr>
        <w:t>美元</w:t>
      </w:r>
      <w:r w:rsidRPr="00CE52EE">
        <w:rPr>
          <w:rFonts w:hint="eastAsia"/>
        </w:rPr>
        <w:t>/</w:t>
      </w:r>
      <w:r w:rsidRPr="00CE52EE">
        <w:rPr>
          <w:rFonts w:hint="eastAsia"/>
        </w:rPr>
        <w:t>桶区间，</w:t>
      </w:r>
      <w:r w:rsidRPr="00CE52EE">
        <w:rPr>
          <w:rFonts w:hint="eastAsia"/>
        </w:rPr>
        <w:t>2026</w:t>
      </w:r>
      <w:r w:rsidRPr="00CE52EE">
        <w:rPr>
          <w:rFonts w:hint="eastAsia"/>
        </w:rPr>
        <w:t>年初温和上涨，封锁期间</w:t>
      </w:r>
      <w:r w:rsidRPr="00CE52EE">
        <w:rPr>
          <w:rFonts w:hint="eastAsia"/>
        </w:rPr>
        <w:t xml:space="preserve"> Brent </w:t>
      </w:r>
      <w:r w:rsidRPr="00CE52EE">
        <w:rPr>
          <w:rFonts w:hint="eastAsia"/>
        </w:rPr>
        <w:t>一度逼近</w:t>
      </w:r>
      <w:r w:rsidRPr="00CE52EE">
        <w:rPr>
          <w:rFonts w:hint="eastAsia"/>
        </w:rPr>
        <w:t xml:space="preserve"> 140 </w:t>
      </w:r>
      <w:r w:rsidRPr="00CE52EE">
        <w:rPr>
          <w:rFonts w:hint="eastAsia"/>
        </w:rPr>
        <w:t>美元</w:t>
      </w:r>
      <w:r w:rsidRPr="00CE52EE">
        <w:rPr>
          <w:rFonts w:hint="eastAsia"/>
        </w:rPr>
        <w:t>/</w:t>
      </w:r>
      <w:r w:rsidRPr="00CE52EE">
        <w:rPr>
          <w:rFonts w:hint="eastAsia"/>
        </w:rPr>
        <w:t>桶，</w:t>
      </w:r>
      <w:r w:rsidRPr="00CE52EE">
        <w:rPr>
          <w:rFonts w:hint="eastAsia"/>
        </w:rPr>
        <w:t xml:space="preserve">WTI </w:t>
      </w:r>
      <w:r w:rsidRPr="00CE52EE">
        <w:rPr>
          <w:rFonts w:hint="eastAsia"/>
        </w:rPr>
        <w:t>冲高至</w:t>
      </w:r>
      <w:r w:rsidRPr="00CE52EE">
        <w:rPr>
          <w:rFonts w:hint="eastAsia"/>
        </w:rPr>
        <w:t xml:space="preserve"> 115 </w:t>
      </w:r>
      <w:r w:rsidRPr="00CE52EE">
        <w:rPr>
          <w:rFonts w:hint="eastAsia"/>
        </w:rPr>
        <w:t>美元</w:t>
      </w:r>
      <w:r w:rsidRPr="00CE52EE">
        <w:rPr>
          <w:rFonts w:hint="eastAsia"/>
        </w:rPr>
        <w:t>/</w:t>
      </w:r>
      <w:r w:rsidRPr="00CE52EE">
        <w:rPr>
          <w:rFonts w:hint="eastAsia"/>
        </w:rPr>
        <w:t>桶左右，较</w:t>
      </w:r>
      <w:r w:rsidRPr="00CE52EE">
        <w:rPr>
          <w:rFonts w:hint="eastAsia"/>
        </w:rPr>
        <w:t>2025</w:t>
      </w:r>
      <w:r w:rsidRPr="00CE52EE">
        <w:rPr>
          <w:rFonts w:hint="eastAsia"/>
        </w:rPr>
        <w:t>年均值近乎翻倍。与此同时，美国商业原油库存在同期快速去化，从</w:t>
      </w:r>
      <w:r w:rsidRPr="00CE52EE">
        <w:rPr>
          <w:rFonts w:hint="eastAsia"/>
        </w:rPr>
        <w:t>2025</w:t>
      </w:r>
      <w:r w:rsidRPr="00CE52EE">
        <w:rPr>
          <w:rFonts w:hint="eastAsia"/>
        </w:rPr>
        <w:t>年底的约</w:t>
      </w:r>
      <w:r w:rsidRPr="00CE52EE">
        <w:rPr>
          <w:rFonts w:hint="eastAsia"/>
        </w:rPr>
        <w:t xml:space="preserve"> 4.45 </w:t>
      </w:r>
      <w:r w:rsidRPr="00CE52EE">
        <w:rPr>
          <w:rFonts w:hint="eastAsia"/>
        </w:rPr>
        <w:t>亿桶骤降至</w:t>
      </w:r>
      <w:r w:rsidRPr="00CE52EE">
        <w:rPr>
          <w:rFonts w:hint="eastAsia"/>
        </w:rPr>
        <w:t>2026</w:t>
      </w:r>
      <w:r w:rsidRPr="00CE52EE">
        <w:rPr>
          <w:rFonts w:hint="eastAsia"/>
        </w:rPr>
        <w:t>年</w:t>
      </w:r>
      <w:r w:rsidRPr="00CE52EE">
        <w:rPr>
          <w:rFonts w:hint="eastAsia"/>
        </w:rPr>
        <w:t>4</w:t>
      </w:r>
      <w:r w:rsidRPr="00CE52EE">
        <w:rPr>
          <w:rFonts w:hint="eastAsia"/>
        </w:rPr>
        <w:t>月的</w:t>
      </w:r>
      <w:r w:rsidRPr="00CE52EE">
        <w:rPr>
          <w:rFonts w:hint="eastAsia"/>
        </w:rPr>
        <w:t xml:space="preserve"> 4.10 </w:t>
      </w:r>
      <w:r w:rsidRPr="00CE52EE">
        <w:rPr>
          <w:rFonts w:hint="eastAsia"/>
        </w:rPr>
        <w:t>亿桶低位，显示实体市场供应紧张。天然气市场亦受到波及，</w:t>
      </w:r>
      <w:r w:rsidRPr="00CE52EE">
        <w:rPr>
          <w:rFonts w:hint="eastAsia"/>
        </w:rPr>
        <w:t xml:space="preserve">Henry Hub </w:t>
      </w:r>
      <w:r w:rsidRPr="00CE52EE">
        <w:rPr>
          <w:rFonts w:hint="eastAsia"/>
        </w:rPr>
        <w:t>与亚洲</w:t>
      </w:r>
      <w:r w:rsidRPr="00CE52EE">
        <w:rPr>
          <w:rFonts w:hint="eastAsia"/>
        </w:rPr>
        <w:t xml:space="preserve"> LNG </w:t>
      </w:r>
      <w:r w:rsidRPr="00CE52EE">
        <w:rPr>
          <w:rFonts w:hint="eastAsia"/>
        </w:rPr>
        <w:t>价格在</w:t>
      </w:r>
      <w:r w:rsidRPr="00CE52EE">
        <w:rPr>
          <w:rFonts w:hint="eastAsia"/>
        </w:rPr>
        <w:t>2026</w:t>
      </w:r>
      <w:r w:rsidRPr="00CE52EE">
        <w:rPr>
          <w:rFonts w:hint="eastAsia"/>
        </w:rPr>
        <w:t>年</w:t>
      </w:r>
      <w:r w:rsidRPr="00CE52EE">
        <w:rPr>
          <w:rFonts w:hint="eastAsia"/>
        </w:rPr>
        <w:t>2</w:t>
      </w:r>
      <w:r w:rsidRPr="00CE52EE">
        <w:rPr>
          <w:rFonts w:hint="eastAsia"/>
        </w:rPr>
        <w:t>–</w:t>
      </w:r>
      <w:r w:rsidRPr="00CE52EE">
        <w:rPr>
          <w:rFonts w:hint="eastAsia"/>
        </w:rPr>
        <w:t>3</w:t>
      </w:r>
      <w:r w:rsidRPr="00CE52EE">
        <w:rPr>
          <w:rFonts w:hint="eastAsia"/>
        </w:rPr>
        <w:t>月出现尖峰，但波动幅度与持续性均弱于原油，反映霍尔木兹封锁对油品的冲击强于天然气。</w:t>
      </w:r>
    </w:p>
    <w:p w14:paraId="71B31BCA" w14:textId="49EA7E7D" w:rsidR="00EC02B4" w:rsidRPr="00097909" w:rsidRDefault="00CE52EE" w:rsidP="00097909">
      <w:pPr>
        <w:pStyle w:val="3"/>
        <w:rPr>
          <w:rFonts w:hint="eastAsia"/>
        </w:rPr>
      </w:pPr>
      <w:r>
        <w:rPr>
          <w:noProof/>
        </w:rPr>
        <w:lastRenderedPageBreak/>
        <w:drawing>
          <wp:anchor distT="0" distB="0" distL="114300" distR="114300" simplePos="0" relativeHeight="251668480" behindDoc="0" locked="0" layoutInCell="1" allowOverlap="1" wp14:anchorId="0A59A0F3" wp14:editId="50F2846C">
            <wp:simplePos x="1146517" y="977705"/>
            <wp:positionH relativeFrom="column">
              <wp:align>center</wp:align>
            </wp:positionH>
            <wp:positionV relativeFrom="paragraph">
              <wp:posOffset>0</wp:posOffset>
            </wp:positionV>
            <wp:extent cx="4860000" cy="2253600"/>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0000" cy="225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6CD2">
        <w:t>5</w:t>
      </w:r>
      <w:r w:rsidR="00432A03" w:rsidRPr="00432A03">
        <w:rPr>
          <w:rFonts w:hint="eastAsia"/>
        </w:rPr>
        <w:t>.</w:t>
      </w:r>
      <w:r w:rsidR="00EC02B4">
        <w:t>2</w:t>
      </w:r>
      <w:r w:rsidR="00432A03" w:rsidRPr="00432A03">
        <w:rPr>
          <w:rFonts w:hint="eastAsia"/>
        </w:rPr>
        <w:t xml:space="preserve"> </w:t>
      </w:r>
      <w:r w:rsidR="00CB7249">
        <w:rPr>
          <w:rFonts w:hint="eastAsia"/>
        </w:rPr>
        <w:t>主要市场</w:t>
      </w:r>
      <w:r w:rsidR="00432A03" w:rsidRPr="00432A03">
        <w:rPr>
          <w:rFonts w:hint="eastAsia"/>
        </w:rPr>
        <w:t>进口来源调整</w:t>
      </w:r>
    </w:p>
    <w:p w14:paraId="0C100B96" w14:textId="0144A102" w:rsidR="00EC02B4" w:rsidRDefault="00097909" w:rsidP="00097909">
      <w:r>
        <w:tab/>
      </w:r>
      <w:r w:rsidRPr="00097909">
        <w:rPr>
          <w:rFonts w:hint="eastAsia"/>
        </w:rPr>
        <w:t>霍尔木兹封锁后，中东核心出口国（沙特、伊拉克、科威特等）及港口油轮净出口断崖下跌。亚洲主要市场（中、日、韩、印）进口量随之大幅萎缩；欧洲（荷兰、鹿特丹）相对平稳，显示其进口来源已加速向非中东渠道切换，中国作为最大进口国，进口量同步显著回落；美国等非中东来源相对重要性上升。亚洲主要市场被迫从</w:t>
      </w:r>
      <w:r>
        <w:rPr>
          <w:rFonts w:hint="eastAsia"/>
        </w:rPr>
        <w:t>“</w:t>
      </w:r>
      <w:r w:rsidRPr="00097909">
        <w:rPr>
          <w:rFonts w:hint="eastAsia"/>
        </w:rPr>
        <w:t>中东依赖</w:t>
      </w:r>
      <w:r>
        <w:rPr>
          <w:rFonts w:hint="eastAsia"/>
        </w:rPr>
        <w:t>”</w:t>
      </w:r>
      <w:r w:rsidRPr="00097909">
        <w:rPr>
          <w:rFonts w:hint="eastAsia"/>
        </w:rPr>
        <w:t>向</w:t>
      </w:r>
      <w:r>
        <w:rPr>
          <w:rFonts w:hint="eastAsia"/>
        </w:rPr>
        <w:t>“</w:t>
      </w:r>
      <w:r w:rsidRPr="00097909">
        <w:rPr>
          <w:rFonts w:hint="eastAsia"/>
        </w:rPr>
        <w:t>多元来源</w:t>
      </w:r>
      <w:r>
        <w:rPr>
          <w:rFonts w:hint="eastAsia"/>
        </w:rPr>
        <w:t>”</w:t>
      </w:r>
      <w:r w:rsidRPr="00097909">
        <w:rPr>
          <w:rFonts w:hint="eastAsia"/>
        </w:rPr>
        <w:t>调整，但替代增量尚难弥补缺口</w:t>
      </w:r>
      <w:r>
        <w:rPr>
          <w:rFonts w:hint="eastAsia"/>
        </w:rPr>
        <w:t>，</w:t>
      </w:r>
      <w:r w:rsidRPr="00097909">
        <w:rPr>
          <w:rFonts w:hint="eastAsia"/>
        </w:rPr>
        <w:t>全球石油贸易版图发生结构性偏移。</w:t>
      </w:r>
    </w:p>
    <w:p w14:paraId="509F6E9C" w14:textId="351163D7" w:rsidR="00097909" w:rsidRPr="00BE78E6" w:rsidRDefault="00097909" w:rsidP="00097909">
      <w:pPr>
        <w:rPr>
          <w:rFonts w:hint="eastAsia"/>
        </w:rPr>
      </w:pPr>
      <w:r w:rsidRPr="00097909">
        <w:drawing>
          <wp:inline distT="0" distB="0" distL="0" distR="0" wp14:anchorId="77301155" wp14:editId="4C500760">
            <wp:extent cx="5274310" cy="307213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072130"/>
                    </a:xfrm>
                    <a:prstGeom prst="rect">
                      <a:avLst/>
                    </a:prstGeom>
                  </pic:spPr>
                </pic:pic>
              </a:graphicData>
            </a:graphic>
          </wp:inline>
        </w:drawing>
      </w:r>
    </w:p>
    <w:p w14:paraId="63037327" w14:textId="256BBC28" w:rsidR="00CB7249" w:rsidRDefault="00CB7249">
      <w:pPr>
        <w:widowControl/>
        <w:spacing w:line="240" w:lineRule="auto"/>
        <w:jc w:val="left"/>
        <w:rPr>
          <w:b/>
          <w:bCs/>
        </w:rPr>
      </w:pPr>
      <w:r>
        <w:rPr>
          <w:b/>
          <w:bCs/>
        </w:rPr>
        <w:br w:type="page"/>
      </w:r>
    </w:p>
    <w:p w14:paraId="60AF46BB" w14:textId="1BE45823" w:rsidR="00CB7249" w:rsidRPr="00CB7249" w:rsidRDefault="00594AEE" w:rsidP="000F1A81">
      <w:pPr>
        <w:pStyle w:val="2"/>
      </w:pPr>
      <w:r>
        <w:rPr>
          <w:rFonts w:hint="eastAsia"/>
        </w:rPr>
        <w:lastRenderedPageBreak/>
        <w:t>六</w:t>
      </w:r>
      <w:r w:rsidR="00CB7249" w:rsidRPr="00CB7249">
        <w:t>、结论与启示</w:t>
      </w:r>
    </w:p>
    <w:p w14:paraId="4CE0D2F2" w14:textId="3D0E33C0" w:rsidR="00CB7249" w:rsidRPr="00CB7249" w:rsidRDefault="00594AEE" w:rsidP="00CB7249">
      <w:pPr>
        <w:pStyle w:val="3"/>
      </w:pPr>
      <w:r>
        <w:t>6</w:t>
      </w:r>
      <w:r w:rsidR="00CB7249" w:rsidRPr="00CB7249">
        <w:t xml:space="preserve">.1 </w:t>
      </w:r>
      <w:r w:rsidR="00CB7249" w:rsidRPr="00CB7249">
        <w:t>核心结论</w:t>
      </w:r>
    </w:p>
    <w:p w14:paraId="311E05E0" w14:textId="14D071D2" w:rsidR="00432A03" w:rsidRDefault="000569F6" w:rsidP="000569F6">
      <w:r>
        <w:tab/>
      </w:r>
      <w:r w:rsidR="001E485F" w:rsidRPr="001E485F">
        <w:rPr>
          <w:rFonts w:hint="eastAsia"/>
        </w:rPr>
        <w:t>霍尔木兹海峡封锁引发区域航运从</w:t>
      </w:r>
      <w:r w:rsidR="001E485F">
        <w:rPr>
          <w:rFonts w:hint="eastAsia"/>
        </w:rPr>
        <w:t>“</w:t>
      </w:r>
      <w:r w:rsidR="001E485F" w:rsidRPr="001E485F">
        <w:rPr>
          <w:rFonts w:hint="eastAsia"/>
        </w:rPr>
        <w:t>效率优先</w:t>
      </w:r>
      <w:r w:rsidR="001E485F">
        <w:rPr>
          <w:rFonts w:hint="eastAsia"/>
        </w:rPr>
        <w:t>”</w:t>
      </w:r>
      <w:r w:rsidR="001E485F" w:rsidRPr="001E485F">
        <w:rPr>
          <w:rFonts w:hint="eastAsia"/>
        </w:rPr>
        <w:t>向</w:t>
      </w:r>
      <w:r w:rsidR="001E485F">
        <w:rPr>
          <w:rFonts w:hint="eastAsia"/>
        </w:rPr>
        <w:t>“</w:t>
      </w:r>
      <w:r w:rsidR="001E485F" w:rsidRPr="001E485F">
        <w:rPr>
          <w:rFonts w:hint="eastAsia"/>
        </w:rPr>
        <w:t>风险规避</w:t>
      </w:r>
      <w:r w:rsidR="001E485F">
        <w:rPr>
          <w:rFonts w:hint="eastAsia"/>
        </w:rPr>
        <w:t>”</w:t>
      </w:r>
      <w:r w:rsidR="001E485F" w:rsidRPr="001E485F">
        <w:rPr>
          <w:rFonts w:hint="eastAsia"/>
        </w:rPr>
        <w:t>的系统性转变：中央主航道通行量</w:t>
      </w:r>
      <w:proofErr w:type="gramStart"/>
      <w:r w:rsidR="001E485F" w:rsidRPr="001E485F">
        <w:rPr>
          <w:rFonts w:hint="eastAsia"/>
        </w:rPr>
        <w:t>降幅超</w:t>
      </w:r>
      <w:proofErr w:type="gramEnd"/>
      <w:r w:rsidR="001E485F" w:rsidRPr="001E485F">
        <w:rPr>
          <w:rFonts w:hint="eastAsia"/>
        </w:rPr>
        <w:t>95%</w:t>
      </w:r>
      <w:r w:rsidR="001E485F" w:rsidRPr="001E485F">
        <w:rPr>
          <w:rFonts w:hint="eastAsia"/>
        </w:rPr>
        <w:t>，辅助通道基本停用，形成</w:t>
      </w:r>
      <w:r w:rsidR="001E485F">
        <w:rPr>
          <w:rFonts w:hint="eastAsia"/>
        </w:rPr>
        <w:t>“</w:t>
      </w:r>
      <w:r w:rsidR="001E485F" w:rsidRPr="001E485F">
        <w:rPr>
          <w:rFonts w:hint="eastAsia"/>
        </w:rPr>
        <w:t>西留东等</w:t>
      </w:r>
      <w:r w:rsidR="001E485F">
        <w:rPr>
          <w:rFonts w:hint="eastAsia"/>
        </w:rPr>
        <w:t>”</w:t>
      </w:r>
      <w:r w:rsidR="001E485F" w:rsidRPr="001E485F">
        <w:rPr>
          <w:rFonts w:hint="eastAsia"/>
        </w:rPr>
        <w:t>格局；油轮通行量骤降</w:t>
      </w:r>
      <w:r w:rsidR="001E485F" w:rsidRPr="001E485F">
        <w:rPr>
          <w:rFonts w:hint="eastAsia"/>
        </w:rPr>
        <w:t>96%</w:t>
      </w:r>
      <w:r w:rsidR="001E485F" w:rsidRPr="001E485F">
        <w:rPr>
          <w:rFonts w:hint="eastAsia"/>
        </w:rPr>
        <w:t>，全球能源贸易</w:t>
      </w:r>
      <w:proofErr w:type="gramStart"/>
      <w:r w:rsidR="001E485F" w:rsidRPr="001E485F">
        <w:rPr>
          <w:rFonts w:hint="eastAsia"/>
        </w:rPr>
        <w:t>被迫经</w:t>
      </w:r>
      <w:proofErr w:type="gramEnd"/>
      <w:r w:rsidR="001E485F" w:rsidRPr="001E485F">
        <w:rPr>
          <w:rFonts w:hint="eastAsia"/>
        </w:rPr>
        <w:t>好望角长距离绕行重构，导致</w:t>
      </w:r>
      <w:r w:rsidR="001E485F" w:rsidRPr="001E485F">
        <w:rPr>
          <w:rFonts w:hint="eastAsia"/>
        </w:rPr>
        <w:t>BDTI</w:t>
      </w:r>
      <w:r w:rsidR="001E485F" w:rsidRPr="001E485F">
        <w:rPr>
          <w:rFonts w:hint="eastAsia"/>
        </w:rPr>
        <w:t>运价指数飙升至近</w:t>
      </w:r>
      <w:r w:rsidR="001E485F" w:rsidRPr="001E485F">
        <w:rPr>
          <w:rFonts w:hint="eastAsia"/>
        </w:rPr>
        <w:t>3700</w:t>
      </w:r>
      <w:r w:rsidR="001E485F" w:rsidRPr="001E485F">
        <w:rPr>
          <w:rFonts w:hint="eastAsia"/>
        </w:rPr>
        <w:t>点、</w:t>
      </w:r>
      <w:r w:rsidR="001E485F" w:rsidRPr="001E485F">
        <w:rPr>
          <w:rFonts w:hint="eastAsia"/>
        </w:rPr>
        <w:t>Brent</w:t>
      </w:r>
      <w:r w:rsidR="001E485F" w:rsidRPr="001E485F">
        <w:rPr>
          <w:rFonts w:hint="eastAsia"/>
        </w:rPr>
        <w:t>油价逼近</w:t>
      </w:r>
      <w:r w:rsidR="001E485F" w:rsidRPr="001E485F">
        <w:rPr>
          <w:rFonts w:hint="eastAsia"/>
        </w:rPr>
        <w:t>140</w:t>
      </w:r>
      <w:r w:rsidR="001E485F" w:rsidRPr="001E485F">
        <w:rPr>
          <w:rFonts w:hint="eastAsia"/>
        </w:rPr>
        <w:t>美元</w:t>
      </w:r>
      <w:r w:rsidR="001E485F" w:rsidRPr="001E485F">
        <w:rPr>
          <w:rFonts w:hint="eastAsia"/>
        </w:rPr>
        <w:t>/</w:t>
      </w:r>
      <w:r w:rsidR="001E485F" w:rsidRPr="001E485F">
        <w:rPr>
          <w:rFonts w:hint="eastAsia"/>
        </w:rPr>
        <w:t>桶</w:t>
      </w:r>
      <w:r w:rsidRPr="000569F6">
        <w:rPr>
          <w:rFonts w:hint="eastAsia"/>
        </w:rPr>
        <w:t>，中东对亚洲出口断崖式下跌而美国等非中东来源重要性上升，充分印证了单一咽喉通道中断对全球供应链的极端脆弱性传导。</w:t>
      </w:r>
    </w:p>
    <w:p w14:paraId="6476DA71" w14:textId="1EE00995" w:rsidR="00CB7249" w:rsidRPr="00CB7249" w:rsidRDefault="00594AEE" w:rsidP="00CB7249">
      <w:pPr>
        <w:pStyle w:val="3"/>
      </w:pPr>
      <w:r>
        <w:t>6</w:t>
      </w:r>
      <w:r w:rsidR="00CB7249" w:rsidRPr="00CB7249">
        <w:t>.</w:t>
      </w:r>
      <w:r w:rsidR="00CB7249">
        <w:t>2</w:t>
      </w:r>
      <w:r w:rsidR="00CB7249" w:rsidRPr="00CB7249">
        <w:t xml:space="preserve"> </w:t>
      </w:r>
      <w:r w:rsidR="00CB7249" w:rsidRPr="00CB7249">
        <w:t>政策启示</w:t>
      </w:r>
    </w:p>
    <w:p w14:paraId="3700795B" w14:textId="47AD70C0" w:rsidR="00CB7249" w:rsidRPr="00CB7249" w:rsidRDefault="000569F6" w:rsidP="000569F6">
      <w:pPr>
        <w:rPr>
          <w:rFonts w:hint="eastAsia"/>
        </w:rPr>
      </w:pPr>
      <w:r>
        <w:tab/>
      </w:r>
      <w:r w:rsidRPr="000569F6">
        <w:rPr>
          <w:rFonts w:hint="eastAsia"/>
        </w:rPr>
        <w:t>应加速构建</w:t>
      </w:r>
      <w:r>
        <w:rPr>
          <w:rFonts w:hint="eastAsia"/>
        </w:rPr>
        <w:t>“</w:t>
      </w:r>
      <w:r w:rsidRPr="000569F6">
        <w:rPr>
          <w:rFonts w:hint="eastAsia"/>
        </w:rPr>
        <w:t>航道多元化</w:t>
      </w:r>
      <w:r w:rsidRPr="000569F6">
        <w:rPr>
          <w:rFonts w:hint="eastAsia"/>
        </w:rPr>
        <w:t>+</w:t>
      </w:r>
      <w:r w:rsidRPr="000569F6">
        <w:rPr>
          <w:rFonts w:hint="eastAsia"/>
        </w:rPr>
        <w:t>战略储备前置</w:t>
      </w:r>
      <w:r w:rsidRPr="000569F6">
        <w:rPr>
          <w:rFonts w:hint="eastAsia"/>
        </w:rPr>
        <w:t>+</w:t>
      </w:r>
      <w:r w:rsidRPr="000569F6">
        <w:rPr>
          <w:rFonts w:hint="eastAsia"/>
        </w:rPr>
        <w:t>替代航线常态化</w:t>
      </w:r>
      <w:r>
        <w:rPr>
          <w:rFonts w:hint="eastAsia"/>
        </w:rPr>
        <w:t>”</w:t>
      </w:r>
      <w:r w:rsidRPr="000569F6">
        <w:rPr>
          <w:rFonts w:hint="eastAsia"/>
        </w:rPr>
        <w:t>的能源安全韧性体系：推动中东—东亚航线向好望角及管道分流，建立与进口依存度匹配的战略储备释放机制，完善高风险区船舶疏散与保险协调机制，从根本上降低对单一海上咽喉通道的系统性依赖。</w:t>
      </w:r>
    </w:p>
    <w:sectPr w:rsidR="00CB7249" w:rsidRPr="00CB72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35971"/>
    <w:multiLevelType w:val="hybridMultilevel"/>
    <w:tmpl w:val="DDC44860"/>
    <w:lvl w:ilvl="0" w:tplc="C14E422C">
      <w:start w:val="1"/>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3AE7E4D"/>
    <w:multiLevelType w:val="hybridMultilevel"/>
    <w:tmpl w:val="6EFAD12C"/>
    <w:lvl w:ilvl="0" w:tplc="1DFA5A3E">
      <w:start w:val="1"/>
      <w:numFmt w:val="bullet"/>
      <w:lvlText w:val="·"/>
      <w:lvlJc w:val="left"/>
      <w:pPr>
        <w:ind w:left="480" w:hanging="360"/>
      </w:pPr>
      <w:rPr>
        <w:rFonts w:ascii="宋体" w:eastAsia="宋体" w:hAnsi="宋体" w:cstheme="minorBidi" w:hint="eastAsia"/>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2" w15:restartNumberingAfterBreak="0">
    <w:nsid w:val="41215DE8"/>
    <w:multiLevelType w:val="hybridMultilevel"/>
    <w:tmpl w:val="36827DE2"/>
    <w:lvl w:ilvl="0" w:tplc="DCFE9100">
      <w:start w:val="1"/>
      <w:numFmt w:val="bullet"/>
      <w:lvlText w:val="·"/>
      <w:lvlJc w:val="left"/>
      <w:pPr>
        <w:ind w:left="480" w:hanging="360"/>
      </w:pPr>
      <w:rPr>
        <w:rFonts w:ascii="宋体" w:eastAsia="宋体" w:hAnsi="宋体" w:cstheme="minorBidi" w:hint="eastAsia"/>
      </w:rPr>
    </w:lvl>
    <w:lvl w:ilvl="1" w:tplc="04090003" w:tentative="1">
      <w:start w:val="1"/>
      <w:numFmt w:val="bullet"/>
      <w:lvlText w:val=""/>
      <w:lvlJc w:val="left"/>
      <w:pPr>
        <w:ind w:left="960" w:hanging="420"/>
      </w:pPr>
      <w:rPr>
        <w:rFonts w:ascii="Wingdings" w:hAnsi="Wingdings" w:hint="default"/>
      </w:rPr>
    </w:lvl>
    <w:lvl w:ilvl="2" w:tplc="04090005" w:tentative="1">
      <w:start w:val="1"/>
      <w:numFmt w:val="bullet"/>
      <w:lvlText w:val=""/>
      <w:lvlJc w:val="left"/>
      <w:pPr>
        <w:ind w:left="1380" w:hanging="420"/>
      </w:pPr>
      <w:rPr>
        <w:rFonts w:ascii="Wingdings" w:hAnsi="Wingdings" w:hint="default"/>
      </w:rPr>
    </w:lvl>
    <w:lvl w:ilvl="3" w:tplc="04090001" w:tentative="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3" w15:restartNumberingAfterBreak="0">
    <w:nsid w:val="6F196EE0"/>
    <w:multiLevelType w:val="multilevel"/>
    <w:tmpl w:val="B24C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BD4"/>
    <w:rsid w:val="0003003B"/>
    <w:rsid w:val="000569F6"/>
    <w:rsid w:val="00097909"/>
    <w:rsid w:val="000F1A81"/>
    <w:rsid w:val="00116563"/>
    <w:rsid w:val="001330ED"/>
    <w:rsid w:val="001513ED"/>
    <w:rsid w:val="0015182E"/>
    <w:rsid w:val="001E485F"/>
    <w:rsid w:val="002D1CAE"/>
    <w:rsid w:val="002E3875"/>
    <w:rsid w:val="00354590"/>
    <w:rsid w:val="003B110A"/>
    <w:rsid w:val="003B5F09"/>
    <w:rsid w:val="00432A03"/>
    <w:rsid w:val="004575C7"/>
    <w:rsid w:val="004B7E1F"/>
    <w:rsid w:val="004C60ED"/>
    <w:rsid w:val="004E3BD4"/>
    <w:rsid w:val="004F4FAF"/>
    <w:rsid w:val="005313DD"/>
    <w:rsid w:val="00532505"/>
    <w:rsid w:val="00537689"/>
    <w:rsid w:val="00594061"/>
    <w:rsid w:val="00594261"/>
    <w:rsid w:val="00594AEE"/>
    <w:rsid w:val="005D785B"/>
    <w:rsid w:val="00631006"/>
    <w:rsid w:val="00680797"/>
    <w:rsid w:val="006820CF"/>
    <w:rsid w:val="00686CD2"/>
    <w:rsid w:val="006E0000"/>
    <w:rsid w:val="00721154"/>
    <w:rsid w:val="007653F1"/>
    <w:rsid w:val="0077760B"/>
    <w:rsid w:val="007A1402"/>
    <w:rsid w:val="00806596"/>
    <w:rsid w:val="008202E1"/>
    <w:rsid w:val="008310B7"/>
    <w:rsid w:val="0083678C"/>
    <w:rsid w:val="008B120A"/>
    <w:rsid w:val="008D335E"/>
    <w:rsid w:val="008E5AB6"/>
    <w:rsid w:val="00916D4B"/>
    <w:rsid w:val="00992998"/>
    <w:rsid w:val="009F1E4B"/>
    <w:rsid w:val="00A36157"/>
    <w:rsid w:val="00A45604"/>
    <w:rsid w:val="00A87D6E"/>
    <w:rsid w:val="00AA22D6"/>
    <w:rsid w:val="00B64807"/>
    <w:rsid w:val="00B67C2C"/>
    <w:rsid w:val="00BA7D45"/>
    <w:rsid w:val="00BC013E"/>
    <w:rsid w:val="00BE78E6"/>
    <w:rsid w:val="00CA0EEB"/>
    <w:rsid w:val="00CB7249"/>
    <w:rsid w:val="00CE52EE"/>
    <w:rsid w:val="00D31F01"/>
    <w:rsid w:val="00E700EA"/>
    <w:rsid w:val="00E753FA"/>
    <w:rsid w:val="00E75AEF"/>
    <w:rsid w:val="00E82F32"/>
    <w:rsid w:val="00E83B4B"/>
    <w:rsid w:val="00EC02B4"/>
    <w:rsid w:val="00EF3FA7"/>
    <w:rsid w:val="00F822E1"/>
    <w:rsid w:val="00F84067"/>
    <w:rsid w:val="00FC6E47"/>
    <w:rsid w:val="00FE0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E815"/>
  <w15:chartTrackingRefBased/>
  <w15:docId w15:val="{79B29F8F-8497-4581-89A4-C81FE23A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563"/>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15182E"/>
    <w:pPr>
      <w:keepNext/>
      <w:keepLines/>
      <w:spacing w:before="340" w:after="330" w:line="578" w:lineRule="auto"/>
      <w:jc w:val="center"/>
      <w:outlineLvl w:val="0"/>
    </w:pPr>
    <w:rPr>
      <w:rFonts w:eastAsia="黑体"/>
      <w:b/>
      <w:bCs/>
      <w:kern w:val="44"/>
      <w:sz w:val="32"/>
      <w:szCs w:val="44"/>
    </w:rPr>
  </w:style>
  <w:style w:type="paragraph" w:styleId="2">
    <w:name w:val="heading 2"/>
    <w:basedOn w:val="a"/>
    <w:next w:val="a"/>
    <w:link w:val="20"/>
    <w:uiPriority w:val="9"/>
    <w:unhideWhenUsed/>
    <w:qFormat/>
    <w:rsid w:val="000F1A81"/>
    <w:pPr>
      <w:keepNext/>
      <w:keepLines/>
      <w:spacing w:before="260" w:after="260" w:line="416" w:lineRule="auto"/>
      <w:jc w:val="left"/>
      <w:outlineLvl w:val="1"/>
    </w:pPr>
    <w:rPr>
      <w:rFonts w:eastAsia="黑体" w:cstheme="majorBidi"/>
      <w:b/>
      <w:sz w:val="30"/>
      <w:szCs w:val="32"/>
    </w:rPr>
  </w:style>
  <w:style w:type="paragraph" w:styleId="3">
    <w:name w:val="heading 3"/>
    <w:basedOn w:val="a"/>
    <w:next w:val="a"/>
    <w:link w:val="30"/>
    <w:uiPriority w:val="9"/>
    <w:unhideWhenUsed/>
    <w:qFormat/>
    <w:rsid w:val="008B120A"/>
    <w:pPr>
      <w:keepNext/>
      <w:keepLines/>
      <w:spacing w:before="260" w:after="260" w:line="416" w:lineRule="auto"/>
      <w:outlineLvl w:val="2"/>
    </w:pPr>
    <w:rPr>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594061"/>
    <w:tblPr>
      <w:tblBorders>
        <w:top w:val="single" w:sz="12" w:space="0" w:color="auto"/>
        <w:bottom w:val="single" w:sz="12" w:space="0" w:color="auto"/>
      </w:tblBorders>
    </w:tblPr>
    <w:tblStylePr w:type="firstRow">
      <w:tblPr/>
      <w:tcPr>
        <w:tcBorders>
          <w:bottom w:val="single" w:sz="4" w:space="0" w:color="auto"/>
        </w:tcBorders>
      </w:tcPr>
    </w:tblStylePr>
  </w:style>
  <w:style w:type="character" w:customStyle="1" w:styleId="10">
    <w:name w:val="标题 1 字符"/>
    <w:basedOn w:val="a0"/>
    <w:link w:val="1"/>
    <w:uiPriority w:val="9"/>
    <w:rsid w:val="0015182E"/>
    <w:rPr>
      <w:rFonts w:eastAsia="黑体"/>
      <w:b/>
      <w:bCs/>
      <w:kern w:val="44"/>
      <w:sz w:val="32"/>
      <w:szCs w:val="44"/>
    </w:rPr>
  </w:style>
  <w:style w:type="character" w:customStyle="1" w:styleId="20">
    <w:name w:val="标题 2 字符"/>
    <w:basedOn w:val="a0"/>
    <w:link w:val="2"/>
    <w:uiPriority w:val="9"/>
    <w:rsid w:val="000F1A81"/>
    <w:rPr>
      <w:rFonts w:ascii="Times New Roman" w:eastAsia="黑体" w:hAnsi="Times New Roman" w:cstheme="majorBidi"/>
      <w:b/>
      <w:sz w:val="30"/>
      <w:szCs w:val="32"/>
    </w:rPr>
  </w:style>
  <w:style w:type="paragraph" w:styleId="a4">
    <w:name w:val="Subtitle"/>
    <w:basedOn w:val="2"/>
    <w:next w:val="a"/>
    <w:link w:val="a5"/>
    <w:uiPriority w:val="11"/>
    <w:qFormat/>
    <w:rsid w:val="0003003B"/>
    <w:pPr>
      <w:jc w:val="center"/>
    </w:pPr>
    <w:rPr>
      <w:b w:val="0"/>
      <w:bCs/>
    </w:rPr>
  </w:style>
  <w:style w:type="character" w:customStyle="1" w:styleId="a5">
    <w:name w:val="副标题 字符"/>
    <w:basedOn w:val="a0"/>
    <w:link w:val="a4"/>
    <w:uiPriority w:val="11"/>
    <w:rsid w:val="0003003B"/>
    <w:rPr>
      <w:rFonts w:asciiTheme="majorHAnsi" w:eastAsia="黑体" w:hAnsiTheme="majorHAnsi" w:cstheme="majorBidi"/>
      <w:b/>
      <w:bCs/>
      <w:sz w:val="30"/>
      <w:szCs w:val="32"/>
    </w:rPr>
  </w:style>
  <w:style w:type="character" w:customStyle="1" w:styleId="30">
    <w:name w:val="标题 3 字符"/>
    <w:basedOn w:val="a0"/>
    <w:link w:val="3"/>
    <w:uiPriority w:val="9"/>
    <w:rsid w:val="008B120A"/>
    <w:rPr>
      <w:rFonts w:ascii="Times New Roman" w:eastAsia="宋体" w:hAnsi="Times New Roman"/>
      <w:b/>
      <w:bCs/>
      <w:sz w:val="28"/>
      <w:szCs w:val="32"/>
    </w:rPr>
  </w:style>
  <w:style w:type="paragraph" w:styleId="a6">
    <w:name w:val="Normal (Web)"/>
    <w:basedOn w:val="a"/>
    <w:uiPriority w:val="99"/>
    <w:unhideWhenUsed/>
    <w:rsid w:val="008B120A"/>
    <w:pPr>
      <w:widowControl/>
      <w:spacing w:before="100" w:beforeAutospacing="1" w:after="100" w:afterAutospacing="1" w:line="240" w:lineRule="auto"/>
      <w:jc w:val="left"/>
    </w:pPr>
    <w:rPr>
      <w:rFonts w:ascii="宋体" w:hAnsi="宋体" w:cs="宋体"/>
      <w:kern w:val="0"/>
      <w:szCs w:val="24"/>
    </w:rPr>
  </w:style>
  <w:style w:type="paragraph" w:styleId="a7">
    <w:name w:val="List Paragraph"/>
    <w:basedOn w:val="a"/>
    <w:uiPriority w:val="34"/>
    <w:qFormat/>
    <w:rsid w:val="008B120A"/>
    <w:pPr>
      <w:ind w:firstLineChars="200" w:firstLine="420"/>
    </w:pPr>
  </w:style>
  <w:style w:type="paragraph" w:styleId="a8">
    <w:name w:val="caption"/>
    <w:basedOn w:val="a"/>
    <w:next w:val="a"/>
    <w:uiPriority w:val="35"/>
    <w:unhideWhenUsed/>
    <w:qFormat/>
    <w:rsid w:val="00E700E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19108">
      <w:bodyDiv w:val="1"/>
      <w:marLeft w:val="0"/>
      <w:marRight w:val="0"/>
      <w:marTop w:val="0"/>
      <w:marBottom w:val="0"/>
      <w:divBdr>
        <w:top w:val="none" w:sz="0" w:space="0" w:color="auto"/>
        <w:left w:val="none" w:sz="0" w:space="0" w:color="auto"/>
        <w:bottom w:val="none" w:sz="0" w:space="0" w:color="auto"/>
        <w:right w:val="none" w:sz="0" w:space="0" w:color="auto"/>
      </w:divBdr>
      <w:divsChild>
        <w:div w:id="657659939">
          <w:marLeft w:val="0"/>
          <w:marRight w:val="0"/>
          <w:marTop w:val="0"/>
          <w:marBottom w:val="240"/>
          <w:divBdr>
            <w:top w:val="none" w:sz="0" w:space="0" w:color="auto"/>
            <w:left w:val="none" w:sz="0" w:space="0" w:color="auto"/>
            <w:bottom w:val="none" w:sz="0" w:space="0" w:color="auto"/>
            <w:right w:val="none" w:sz="0" w:space="0" w:color="auto"/>
          </w:divBdr>
        </w:div>
        <w:div w:id="161432811">
          <w:marLeft w:val="0"/>
          <w:marRight w:val="0"/>
          <w:marTop w:val="0"/>
          <w:marBottom w:val="0"/>
          <w:divBdr>
            <w:top w:val="none" w:sz="0" w:space="0" w:color="auto"/>
            <w:left w:val="none" w:sz="0" w:space="0" w:color="auto"/>
            <w:bottom w:val="none" w:sz="0" w:space="0" w:color="auto"/>
            <w:right w:val="none" w:sz="0" w:space="0" w:color="auto"/>
          </w:divBdr>
        </w:div>
      </w:divsChild>
    </w:div>
    <w:div w:id="87586295">
      <w:bodyDiv w:val="1"/>
      <w:marLeft w:val="0"/>
      <w:marRight w:val="0"/>
      <w:marTop w:val="0"/>
      <w:marBottom w:val="0"/>
      <w:divBdr>
        <w:top w:val="none" w:sz="0" w:space="0" w:color="auto"/>
        <w:left w:val="none" w:sz="0" w:space="0" w:color="auto"/>
        <w:bottom w:val="none" w:sz="0" w:space="0" w:color="auto"/>
        <w:right w:val="none" w:sz="0" w:space="0" w:color="auto"/>
      </w:divBdr>
    </w:div>
    <w:div w:id="136803387">
      <w:bodyDiv w:val="1"/>
      <w:marLeft w:val="0"/>
      <w:marRight w:val="0"/>
      <w:marTop w:val="0"/>
      <w:marBottom w:val="0"/>
      <w:divBdr>
        <w:top w:val="none" w:sz="0" w:space="0" w:color="auto"/>
        <w:left w:val="none" w:sz="0" w:space="0" w:color="auto"/>
        <w:bottom w:val="none" w:sz="0" w:space="0" w:color="auto"/>
        <w:right w:val="none" w:sz="0" w:space="0" w:color="auto"/>
      </w:divBdr>
    </w:div>
    <w:div w:id="147865724">
      <w:bodyDiv w:val="1"/>
      <w:marLeft w:val="0"/>
      <w:marRight w:val="0"/>
      <w:marTop w:val="0"/>
      <w:marBottom w:val="0"/>
      <w:divBdr>
        <w:top w:val="none" w:sz="0" w:space="0" w:color="auto"/>
        <w:left w:val="none" w:sz="0" w:space="0" w:color="auto"/>
        <w:bottom w:val="none" w:sz="0" w:space="0" w:color="auto"/>
        <w:right w:val="none" w:sz="0" w:space="0" w:color="auto"/>
      </w:divBdr>
      <w:divsChild>
        <w:div w:id="349065308">
          <w:marLeft w:val="0"/>
          <w:marRight w:val="0"/>
          <w:marTop w:val="0"/>
          <w:marBottom w:val="0"/>
          <w:divBdr>
            <w:top w:val="none" w:sz="0" w:space="0" w:color="auto"/>
            <w:left w:val="none" w:sz="0" w:space="0" w:color="auto"/>
            <w:bottom w:val="none" w:sz="0" w:space="0" w:color="auto"/>
            <w:right w:val="none" w:sz="0" w:space="0" w:color="auto"/>
          </w:divBdr>
        </w:div>
      </w:divsChild>
    </w:div>
    <w:div w:id="252521265">
      <w:bodyDiv w:val="1"/>
      <w:marLeft w:val="0"/>
      <w:marRight w:val="0"/>
      <w:marTop w:val="0"/>
      <w:marBottom w:val="0"/>
      <w:divBdr>
        <w:top w:val="none" w:sz="0" w:space="0" w:color="auto"/>
        <w:left w:val="none" w:sz="0" w:space="0" w:color="auto"/>
        <w:bottom w:val="none" w:sz="0" w:space="0" w:color="auto"/>
        <w:right w:val="none" w:sz="0" w:space="0" w:color="auto"/>
      </w:divBdr>
    </w:div>
    <w:div w:id="260183194">
      <w:bodyDiv w:val="1"/>
      <w:marLeft w:val="0"/>
      <w:marRight w:val="0"/>
      <w:marTop w:val="0"/>
      <w:marBottom w:val="0"/>
      <w:divBdr>
        <w:top w:val="none" w:sz="0" w:space="0" w:color="auto"/>
        <w:left w:val="none" w:sz="0" w:space="0" w:color="auto"/>
        <w:bottom w:val="none" w:sz="0" w:space="0" w:color="auto"/>
        <w:right w:val="none" w:sz="0" w:space="0" w:color="auto"/>
      </w:divBdr>
    </w:div>
    <w:div w:id="313412299">
      <w:bodyDiv w:val="1"/>
      <w:marLeft w:val="0"/>
      <w:marRight w:val="0"/>
      <w:marTop w:val="0"/>
      <w:marBottom w:val="0"/>
      <w:divBdr>
        <w:top w:val="none" w:sz="0" w:space="0" w:color="auto"/>
        <w:left w:val="none" w:sz="0" w:space="0" w:color="auto"/>
        <w:bottom w:val="none" w:sz="0" w:space="0" w:color="auto"/>
        <w:right w:val="none" w:sz="0" w:space="0" w:color="auto"/>
      </w:divBdr>
    </w:div>
    <w:div w:id="368339248">
      <w:bodyDiv w:val="1"/>
      <w:marLeft w:val="0"/>
      <w:marRight w:val="0"/>
      <w:marTop w:val="0"/>
      <w:marBottom w:val="0"/>
      <w:divBdr>
        <w:top w:val="none" w:sz="0" w:space="0" w:color="auto"/>
        <w:left w:val="none" w:sz="0" w:space="0" w:color="auto"/>
        <w:bottom w:val="none" w:sz="0" w:space="0" w:color="auto"/>
        <w:right w:val="none" w:sz="0" w:space="0" w:color="auto"/>
      </w:divBdr>
    </w:div>
    <w:div w:id="393233859">
      <w:bodyDiv w:val="1"/>
      <w:marLeft w:val="0"/>
      <w:marRight w:val="0"/>
      <w:marTop w:val="0"/>
      <w:marBottom w:val="0"/>
      <w:divBdr>
        <w:top w:val="none" w:sz="0" w:space="0" w:color="auto"/>
        <w:left w:val="none" w:sz="0" w:space="0" w:color="auto"/>
        <w:bottom w:val="none" w:sz="0" w:space="0" w:color="auto"/>
        <w:right w:val="none" w:sz="0" w:space="0" w:color="auto"/>
      </w:divBdr>
      <w:divsChild>
        <w:div w:id="1262841260">
          <w:marLeft w:val="0"/>
          <w:marRight w:val="0"/>
          <w:marTop w:val="0"/>
          <w:marBottom w:val="0"/>
          <w:divBdr>
            <w:top w:val="none" w:sz="0" w:space="0" w:color="auto"/>
            <w:left w:val="none" w:sz="0" w:space="0" w:color="auto"/>
            <w:bottom w:val="none" w:sz="0" w:space="0" w:color="auto"/>
            <w:right w:val="none" w:sz="0" w:space="0" w:color="auto"/>
          </w:divBdr>
        </w:div>
      </w:divsChild>
    </w:div>
    <w:div w:id="460194879">
      <w:bodyDiv w:val="1"/>
      <w:marLeft w:val="0"/>
      <w:marRight w:val="0"/>
      <w:marTop w:val="0"/>
      <w:marBottom w:val="0"/>
      <w:divBdr>
        <w:top w:val="none" w:sz="0" w:space="0" w:color="auto"/>
        <w:left w:val="none" w:sz="0" w:space="0" w:color="auto"/>
        <w:bottom w:val="none" w:sz="0" w:space="0" w:color="auto"/>
        <w:right w:val="none" w:sz="0" w:space="0" w:color="auto"/>
      </w:divBdr>
      <w:divsChild>
        <w:div w:id="2019043447">
          <w:marLeft w:val="0"/>
          <w:marRight w:val="0"/>
          <w:marTop w:val="0"/>
          <w:marBottom w:val="240"/>
          <w:divBdr>
            <w:top w:val="none" w:sz="0" w:space="0" w:color="auto"/>
            <w:left w:val="none" w:sz="0" w:space="0" w:color="auto"/>
            <w:bottom w:val="none" w:sz="0" w:space="0" w:color="auto"/>
            <w:right w:val="none" w:sz="0" w:space="0" w:color="auto"/>
          </w:divBdr>
        </w:div>
        <w:div w:id="1751274548">
          <w:marLeft w:val="0"/>
          <w:marRight w:val="0"/>
          <w:marTop w:val="0"/>
          <w:marBottom w:val="240"/>
          <w:divBdr>
            <w:top w:val="none" w:sz="0" w:space="0" w:color="auto"/>
            <w:left w:val="none" w:sz="0" w:space="0" w:color="auto"/>
            <w:bottom w:val="none" w:sz="0" w:space="0" w:color="auto"/>
            <w:right w:val="none" w:sz="0" w:space="0" w:color="auto"/>
          </w:divBdr>
        </w:div>
        <w:div w:id="2076317288">
          <w:marLeft w:val="0"/>
          <w:marRight w:val="0"/>
          <w:marTop w:val="0"/>
          <w:marBottom w:val="0"/>
          <w:divBdr>
            <w:top w:val="none" w:sz="0" w:space="0" w:color="auto"/>
            <w:left w:val="none" w:sz="0" w:space="0" w:color="auto"/>
            <w:bottom w:val="none" w:sz="0" w:space="0" w:color="auto"/>
            <w:right w:val="none" w:sz="0" w:space="0" w:color="auto"/>
          </w:divBdr>
        </w:div>
      </w:divsChild>
    </w:div>
    <w:div w:id="461113681">
      <w:bodyDiv w:val="1"/>
      <w:marLeft w:val="0"/>
      <w:marRight w:val="0"/>
      <w:marTop w:val="0"/>
      <w:marBottom w:val="0"/>
      <w:divBdr>
        <w:top w:val="none" w:sz="0" w:space="0" w:color="auto"/>
        <w:left w:val="none" w:sz="0" w:space="0" w:color="auto"/>
        <w:bottom w:val="none" w:sz="0" w:space="0" w:color="auto"/>
        <w:right w:val="none" w:sz="0" w:space="0" w:color="auto"/>
      </w:divBdr>
    </w:div>
    <w:div w:id="480317800">
      <w:bodyDiv w:val="1"/>
      <w:marLeft w:val="0"/>
      <w:marRight w:val="0"/>
      <w:marTop w:val="0"/>
      <w:marBottom w:val="0"/>
      <w:divBdr>
        <w:top w:val="none" w:sz="0" w:space="0" w:color="auto"/>
        <w:left w:val="none" w:sz="0" w:space="0" w:color="auto"/>
        <w:bottom w:val="none" w:sz="0" w:space="0" w:color="auto"/>
        <w:right w:val="none" w:sz="0" w:space="0" w:color="auto"/>
      </w:divBdr>
    </w:div>
    <w:div w:id="500395749">
      <w:bodyDiv w:val="1"/>
      <w:marLeft w:val="0"/>
      <w:marRight w:val="0"/>
      <w:marTop w:val="0"/>
      <w:marBottom w:val="0"/>
      <w:divBdr>
        <w:top w:val="none" w:sz="0" w:space="0" w:color="auto"/>
        <w:left w:val="none" w:sz="0" w:space="0" w:color="auto"/>
        <w:bottom w:val="none" w:sz="0" w:space="0" w:color="auto"/>
        <w:right w:val="none" w:sz="0" w:space="0" w:color="auto"/>
      </w:divBdr>
    </w:div>
    <w:div w:id="523711082">
      <w:bodyDiv w:val="1"/>
      <w:marLeft w:val="0"/>
      <w:marRight w:val="0"/>
      <w:marTop w:val="0"/>
      <w:marBottom w:val="0"/>
      <w:divBdr>
        <w:top w:val="none" w:sz="0" w:space="0" w:color="auto"/>
        <w:left w:val="none" w:sz="0" w:space="0" w:color="auto"/>
        <w:bottom w:val="none" w:sz="0" w:space="0" w:color="auto"/>
        <w:right w:val="none" w:sz="0" w:space="0" w:color="auto"/>
      </w:divBdr>
    </w:div>
    <w:div w:id="537662557">
      <w:bodyDiv w:val="1"/>
      <w:marLeft w:val="0"/>
      <w:marRight w:val="0"/>
      <w:marTop w:val="0"/>
      <w:marBottom w:val="0"/>
      <w:divBdr>
        <w:top w:val="none" w:sz="0" w:space="0" w:color="auto"/>
        <w:left w:val="none" w:sz="0" w:space="0" w:color="auto"/>
        <w:bottom w:val="none" w:sz="0" w:space="0" w:color="auto"/>
        <w:right w:val="none" w:sz="0" w:space="0" w:color="auto"/>
      </w:divBdr>
    </w:div>
    <w:div w:id="541096846">
      <w:bodyDiv w:val="1"/>
      <w:marLeft w:val="0"/>
      <w:marRight w:val="0"/>
      <w:marTop w:val="0"/>
      <w:marBottom w:val="0"/>
      <w:divBdr>
        <w:top w:val="none" w:sz="0" w:space="0" w:color="auto"/>
        <w:left w:val="none" w:sz="0" w:space="0" w:color="auto"/>
        <w:bottom w:val="none" w:sz="0" w:space="0" w:color="auto"/>
        <w:right w:val="none" w:sz="0" w:space="0" w:color="auto"/>
      </w:divBdr>
    </w:div>
    <w:div w:id="650787931">
      <w:bodyDiv w:val="1"/>
      <w:marLeft w:val="0"/>
      <w:marRight w:val="0"/>
      <w:marTop w:val="0"/>
      <w:marBottom w:val="0"/>
      <w:divBdr>
        <w:top w:val="none" w:sz="0" w:space="0" w:color="auto"/>
        <w:left w:val="none" w:sz="0" w:space="0" w:color="auto"/>
        <w:bottom w:val="none" w:sz="0" w:space="0" w:color="auto"/>
        <w:right w:val="none" w:sz="0" w:space="0" w:color="auto"/>
      </w:divBdr>
    </w:div>
    <w:div w:id="666640585">
      <w:bodyDiv w:val="1"/>
      <w:marLeft w:val="0"/>
      <w:marRight w:val="0"/>
      <w:marTop w:val="0"/>
      <w:marBottom w:val="0"/>
      <w:divBdr>
        <w:top w:val="none" w:sz="0" w:space="0" w:color="auto"/>
        <w:left w:val="none" w:sz="0" w:space="0" w:color="auto"/>
        <w:bottom w:val="none" w:sz="0" w:space="0" w:color="auto"/>
        <w:right w:val="none" w:sz="0" w:space="0" w:color="auto"/>
      </w:divBdr>
    </w:div>
    <w:div w:id="858660664">
      <w:bodyDiv w:val="1"/>
      <w:marLeft w:val="0"/>
      <w:marRight w:val="0"/>
      <w:marTop w:val="0"/>
      <w:marBottom w:val="0"/>
      <w:divBdr>
        <w:top w:val="none" w:sz="0" w:space="0" w:color="auto"/>
        <w:left w:val="none" w:sz="0" w:space="0" w:color="auto"/>
        <w:bottom w:val="none" w:sz="0" w:space="0" w:color="auto"/>
        <w:right w:val="none" w:sz="0" w:space="0" w:color="auto"/>
      </w:divBdr>
    </w:div>
    <w:div w:id="866723746">
      <w:bodyDiv w:val="1"/>
      <w:marLeft w:val="0"/>
      <w:marRight w:val="0"/>
      <w:marTop w:val="0"/>
      <w:marBottom w:val="0"/>
      <w:divBdr>
        <w:top w:val="none" w:sz="0" w:space="0" w:color="auto"/>
        <w:left w:val="none" w:sz="0" w:space="0" w:color="auto"/>
        <w:bottom w:val="none" w:sz="0" w:space="0" w:color="auto"/>
        <w:right w:val="none" w:sz="0" w:space="0" w:color="auto"/>
      </w:divBdr>
    </w:div>
    <w:div w:id="921719353">
      <w:bodyDiv w:val="1"/>
      <w:marLeft w:val="0"/>
      <w:marRight w:val="0"/>
      <w:marTop w:val="0"/>
      <w:marBottom w:val="0"/>
      <w:divBdr>
        <w:top w:val="none" w:sz="0" w:space="0" w:color="auto"/>
        <w:left w:val="none" w:sz="0" w:space="0" w:color="auto"/>
        <w:bottom w:val="none" w:sz="0" w:space="0" w:color="auto"/>
        <w:right w:val="none" w:sz="0" w:space="0" w:color="auto"/>
      </w:divBdr>
      <w:divsChild>
        <w:div w:id="1641376991">
          <w:marLeft w:val="0"/>
          <w:marRight w:val="0"/>
          <w:marTop w:val="0"/>
          <w:marBottom w:val="240"/>
          <w:divBdr>
            <w:top w:val="none" w:sz="0" w:space="0" w:color="auto"/>
            <w:left w:val="none" w:sz="0" w:space="0" w:color="auto"/>
            <w:bottom w:val="none" w:sz="0" w:space="0" w:color="auto"/>
            <w:right w:val="none" w:sz="0" w:space="0" w:color="auto"/>
          </w:divBdr>
        </w:div>
        <w:div w:id="1144197773">
          <w:marLeft w:val="0"/>
          <w:marRight w:val="0"/>
          <w:marTop w:val="0"/>
          <w:marBottom w:val="0"/>
          <w:divBdr>
            <w:top w:val="none" w:sz="0" w:space="0" w:color="auto"/>
            <w:left w:val="none" w:sz="0" w:space="0" w:color="auto"/>
            <w:bottom w:val="none" w:sz="0" w:space="0" w:color="auto"/>
            <w:right w:val="none" w:sz="0" w:space="0" w:color="auto"/>
          </w:divBdr>
        </w:div>
      </w:divsChild>
    </w:div>
    <w:div w:id="939484860">
      <w:bodyDiv w:val="1"/>
      <w:marLeft w:val="0"/>
      <w:marRight w:val="0"/>
      <w:marTop w:val="0"/>
      <w:marBottom w:val="0"/>
      <w:divBdr>
        <w:top w:val="none" w:sz="0" w:space="0" w:color="auto"/>
        <w:left w:val="none" w:sz="0" w:space="0" w:color="auto"/>
        <w:bottom w:val="none" w:sz="0" w:space="0" w:color="auto"/>
        <w:right w:val="none" w:sz="0" w:space="0" w:color="auto"/>
      </w:divBdr>
    </w:div>
    <w:div w:id="1019545701">
      <w:bodyDiv w:val="1"/>
      <w:marLeft w:val="0"/>
      <w:marRight w:val="0"/>
      <w:marTop w:val="0"/>
      <w:marBottom w:val="0"/>
      <w:divBdr>
        <w:top w:val="none" w:sz="0" w:space="0" w:color="auto"/>
        <w:left w:val="none" w:sz="0" w:space="0" w:color="auto"/>
        <w:bottom w:val="none" w:sz="0" w:space="0" w:color="auto"/>
        <w:right w:val="none" w:sz="0" w:space="0" w:color="auto"/>
      </w:divBdr>
    </w:div>
    <w:div w:id="1027440331">
      <w:bodyDiv w:val="1"/>
      <w:marLeft w:val="0"/>
      <w:marRight w:val="0"/>
      <w:marTop w:val="0"/>
      <w:marBottom w:val="0"/>
      <w:divBdr>
        <w:top w:val="none" w:sz="0" w:space="0" w:color="auto"/>
        <w:left w:val="none" w:sz="0" w:space="0" w:color="auto"/>
        <w:bottom w:val="none" w:sz="0" w:space="0" w:color="auto"/>
        <w:right w:val="none" w:sz="0" w:space="0" w:color="auto"/>
      </w:divBdr>
    </w:div>
    <w:div w:id="1095131847">
      <w:bodyDiv w:val="1"/>
      <w:marLeft w:val="0"/>
      <w:marRight w:val="0"/>
      <w:marTop w:val="0"/>
      <w:marBottom w:val="0"/>
      <w:divBdr>
        <w:top w:val="none" w:sz="0" w:space="0" w:color="auto"/>
        <w:left w:val="none" w:sz="0" w:space="0" w:color="auto"/>
        <w:bottom w:val="none" w:sz="0" w:space="0" w:color="auto"/>
        <w:right w:val="none" w:sz="0" w:space="0" w:color="auto"/>
      </w:divBdr>
    </w:div>
    <w:div w:id="1110009701">
      <w:bodyDiv w:val="1"/>
      <w:marLeft w:val="0"/>
      <w:marRight w:val="0"/>
      <w:marTop w:val="0"/>
      <w:marBottom w:val="0"/>
      <w:divBdr>
        <w:top w:val="none" w:sz="0" w:space="0" w:color="auto"/>
        <w:left w:val="none" w:sz="0" w:space="0" w:color="auto"/>
        <w:bottom w:val="none" w:sz="0" w:space="0" w:color="auto"/>
        <w:right w:val="none" w:sz="0" w:space="0" w:color="auto"/>
      </w:divBdr>
    </w:div>
    <w:div w:id="1127436093">
      <w:bodyDiv w:val="1"/>
      <w:marLeft w:val="0"/>
      <w:marRight w:val="0"/>
      <w:marTop w:val="0"/>
      <w:marBottom w:val="0"/>
      <w:divBdr>
        <w:top w:val="none" w:sz="0" w:space="0" w:color="auto"/>
        <w:left w:val="none" w:sz="0" w:space="0" w:color="auto"/>
        <w:bottom w:val="none" w:sz="0" w:space="0" w:color="auto"/>
        <w:right w:val="none" w:sz="0" w:space="0" w:color="auto"/>
      </w:divBdr>
    </w:div>
    <w:div w:id="1151870397">
      <w:bodyDiv w:val="1"/>
      <w:marLeft w:val="0"/>
      <w:marRight w:val="0"/>
      <w:marTop w:val="0"/>
      <w:marBottom w:val="0"/>
      <w:divBdr>
        <w:top w:val="none" w:sz="0" w:space="0" w:color="auto"/>
        <w:left w:val="none" w:sz="0" w:space="0" w:color="auto"/>
        <w:bottom w:val="none" w:sz="0" w:space="0" w:color="auto"/>
        <w:right w:val="none" w:sz="0" w:space="0" w:color="auto"/>
      </w:divBdr>
    </w:div>
    <w:div w:id="1158813705">
      <w:bodyDiv w:val="1"/>
      <w:marLeft w:val="0"/>
      <w:marRight w:val="0"/>
      <w:marTop w:val="0"/>
      <w:marBottom w:val="0"/>
      <w:divBdr>
        <w:top w:val="none" w:sz="0" w:space="0" w:color="auto"/>
        <w:left w:val="none" w:sz="0" w:space="0" w:color="auto"/>
        <w:bottom w:val="none" w:sz="0" w:space="0" w:color="auto"/>
        <w:right w:val="none" w:sz="0" w:space="0" w:color="auto"/>
      </w:divBdr>
      <w:divsChild>
        <w:div w:id="699626008">
          <w:marLeft w:val="0"/>
          <w:marRight w:val="0"/>
          <w:marTop w:val="0"/>
          <w:marBottom w:val="240"/>
          <w:divBdr>
            <w:top w:val="none" w:sz="0" w:space="0" w:color="auto"/>
            <w:left w:val="none" w:sz="0" w:space="0" w:color="auto"/>
            <w:bottom w:val="none" w:sz="0" w:space="0" w:color="auto"/>
            <w:right w:val="none" w:sz="0" w:space="0" w:color="auto"/>
          </w:divBdr>
        </w:div>
        <w:div w:id="761098891">
          <w:marLeft w:val="0"/>
          <w:marRight w:val="0"/>
          <w:marTop w:val="0"/>
          <w:marBottom w:val="240"/>
          <w:divBdr>
            <w:top w:val="none" w:sz="0" w:space="0" w:color="auto"/>
            <w:left w:val="none" w:sz="0" w:space="0" w:color="auto"/>
            <w:bottom w:val="none" w:sz="0" w:space="0" w:color="auto"/>
            <w:right w:val="none" w:sz="0" w:space="0" w:color="auto"/>
          </w:divBdr>
        </w:div>
        <w:div w:id="2003044351">
          <w:marLeft w:val="0"/>
          <w:marRight w:val="0"/>
          <w:marTop w:val="0"/>
          <w:marBottom w:val="240"/>
          <w:divBdr>
            <w:top w:val="none" w:sz="0" w:space="0" w:color="auto"/>
            <w:left w:val="none" w:sz="0" w:space="0" w:color="auto"/>
            <w:bottom w:val="none" w:sz="0" w:space="0" w:color="auto"/>
            <w:right w:val="none" w:sz="0" w:space="0" w:color="auto"/>
          </w:divBdr>
        </w:div>
        <w:div w:id="1376079449">
          <w:marLeft w:val="0"/>
          <w:marRight w:val="0"/>
          <w:marTop w:val="0"/>
          <w:marBottom w:val="240"/>
          <w:divBdr>
            <w:top w:val="none" w:sz="0" w:space="0" w:color="auto"/>
            <w:left w:val="none" w:sz="0" w:space="0" w:color="auto"/>
            <w:bottom w:val="none" w:sz="0" w:space="0" w:color="auto"/>
            <w:right w:val="none" w:sz="0" w:space="0" w:color="auto"/>
          </w:divBdr>
        </w:div>
      </w:divsChild>
    </w:div>
    <w:div w:id="1341004666">
      <w:bodyDiv w:val="1"/>
      <w:marLeft w:val="0"/>
      <w:marRight w:val="0"/>
      <w:marTop w:val="0"/>
      <w:marBottom w:val="0"/>
      <w:divBdr>
        <w:top w:val="none" w:sz="0" w:space="0" w:color="auto"/>
        <w:left w:val="none" w:sz="0" w:space="0" w:color="auto"/>
        <w:bottom w:val="none" w:sz="0" w:space="0" w:color="auto"/>
        <w:right w:val="none" w:sz="0" w:space="0" w:color="auto"/>
      </w:divBdr>
    </w:div>
    <w:div w:id="1361198314">
      <w:bodyDiv w:val="1"/>
      <w:marLeft w:val="0"/>
      <w:marRight w:val="0"/>
      <w:marTop w:val="0"/>
      <w:marBottom w:val="0"/>
      <w:divBdr>
        <w:top w:val="none" w:sz="0" w:space="0" w:color="auto"/>
        <w:left w:val="none" w:sz="0" w:space="0" w:color="auto"/>
        <w:bottom w:val="none" w:sz="0" w:space="0" w:color="auto"/>
        <w:right w:val="none" w:sz="0" w:space="0" w:color="auto"/>
      </w:divBdr>
    </w:div>
    <w:div w:id="1387534218">
      <w:bodyDiv w:val="1"/>
      <w:marLeft w:val="0"/>
      <w:marRight w:val="0"/>
      <w:marTop w:val="0"/>
      <w:marBottom w:val="0"/>
      <w:divBdr>
        <w:top w:val="none" w:sz="0" w:space="0" w:color="auto"/>
        <w:left w:val="none" w:sz="0" w:space="0" w:color="auto"/>
        <w:bottom w:val="none" w:sz="0" w:space="0" w:color="auto"/>
        <w:right w:val="none" w:sz="0" w:space="0" w:color="auto"/>
      </w:divBdr>
    </w:div>
    <w:div w:id="1390837204">
      <w:bodyDiv w:val="1"/>
      <w:marLeft w:val="0"/>
      <w:marRight w:val="0"/>
      <w:marTop w:val="0"/>
      <w:marBottom w:val="0"/>
      <w:divBdr>
        <w:top w:val="none" w:sz="0" w:space="0" w:color="auto"/>
        <w:left w:val="none" w:sz="0" w:space="0" w:color="auto"/>
        <w:bottom w:val="none" w:sz="0" w:space="0" w:color="auto"/>
        <w:right w:val="none" w:sz="0" w:space="0" w:color="auto"/>
      </w:divBdr>
    </w:div>
    <w:div w:id="1394042289">
      <w:bodyDiv w:val="1"/>
      <w:marLeft w:val="0"/>
      <w:marRight w:val="0"/>
      <w:marTop w:val="0"/>
      <w:marBottom w:val="0"/>
      <w:divBdr>
        <w:top w:val="none" w:sz="0" w:space="0" w:color="auto"/>
        <w:left w:val="none" w:sz="0" w:space="0" w:color="auto"/>
        <w:bottom w:val="none" w:sz="0" w:space="0" w:color="auto"/>
        <w:right w:val="none" w:sz="0" w:space="0" w:color="auto"/>
      </w:divBdr>
    </w:div>
    <w:div w:id="1398552367">
      <w:bodyDiv w:val="1"/>
      <w:marLeft w:val="0"/>
      <w:marRight w:val="0"/>
      <w:marTop w:val="0"/>
      <w:marBottom w:val="0"/>
      <w:divBdr>
        <w:top w:val="none" w:sz="0" w:space="0" w:color="auto"/>
        <w:left w:val="none" w:sz="0" w:space="0" w:color="auto"/>
        <w:bottom w:val="none" w:sz="0" w:space="0" w:color="auto"/>
        <w:right w:val="none" w:sz="0" w:space="0" w:color="auto"/>
      </w:divBdr>
      <w:divsChild>
        <w:div w:id="670521545">
          <w:marLeft w:val="0"/>
          <w:marRight w:val="0"/>
          <w:marTop w:val="0"/>
          <w:marBottom w:val="240"/>
          <w:divBdr>
            <w:top w:val="none" w:sz="0" w:space="0" w:color="auto"/>
            <w:left w:val="none" w:sz="0" w:space="0" w:color="auto"/>
            <w:bottom w:val="none" w:sz="0" w:space="0" w:color="auto"/>
            <w:right w:val="none" w:sz="0" w:space="0" w:color="auto"/>
          </w:divBdr>
        </w:div>
        <w:div w:id="1219131442">
          <w:marLeft w:val="0"/>
          <w:marRight w:val="0"/>
          <w:marTop w:val="0"/>
          <w:marBottom w:val="240"/>
          <w:divBdr>
            <w:top w:val="none" w:sz="0" w:space="0" w:color="auto"/>
            <w:left w:val="none" w:sz="0" w:space="0" w:color="auto"/>
            <w:bottom w:val="none" w:sz="0" w:space="0" w:color="auto"/>
            <w:right w:val="none" w:sz="0" w:space="0" w:color="auto"/>
          </w:divBdr>
        </w:div>
        <w:div w:id="1410689677">
          <w:marLeft w:val="0"/>
          <w:marRight w:val="0"/>
          <w:marTop w:val="0"/>
          <w:marBottom w:val="240"/>
          <w:divBdr>
            <w:top w:val="none" w:sz="0" w:space="0" w:color="auto"/>
            <w:left w:val="none" w:sz="0" w:space="0" w:color="auto"/>
            <w:bottom w:val="none" w:sz="0" w:space="0" w:color="auto"/>
            <w:right w:val="none" w:sz="0" w:space="0" w:color="auto"/>
          </w:divBdr>
        </w:div>
      </w:divsChild>
    </w:div>
    <w:div w:id="1418288320">
      <w:bodyDiv w:val="1"/>
      <w:marLeft w:val="0"/>
      <w:marRight w:val="0"/>
      <w:marTop w:val="0"/>
      <w:marBottom w:val="0"/>
      <w:divBdr>
        <w:top w:val="none" w:sz="0" w:space="0" w:color="auto"/>
        <w:left w:val="none" w:sz="0" w:space="0" w:color="auto"/>
        <w:bottom w:val="none" w:sz="0" w:space="0" w:color="auto"/>
        <w:right w:val="none" w:sz="0" w:space="0" w:color="auto"/>
      </w:divBdr>
    </w:div>
    <w:div w:id="1500972416">
      <w:bodyDiv w:val="1"/>
      <w:marLeft w:val="0"/>
      <w:marRight w:val="0"/>
      <w:marTop w:val="0"/>
      <w:marBottom w:val="0"/>
      <w:divBdr>
        <w:top w:val="none" w:sz="0" w:space="0" w:color="auto"/>
        <w:left w:val="none" w:sz="0" w:space="0" w:color="auto"/>
        <w:bottom w:val="none" w:sz="0" w:space="0" w:color="auto"/>
        <w:right w:val="none" w:sz="0" w:space="0" w:color="auto"/>
      </w:divBdr>
    </w:div>
    <w:div w:id="1501654475">
      <w:bodyDiv w:val="1"/>
      <w:marLeft w:val="0"/>
      <w:marRight w:val="0"/>
      <w:marTop w:val="0"/>
      <w:marBottom w:val="0"/>
      <w:divBdr>
        <w:top w:val="none" w:sz="0" w:space="0" w:color="auto"/>
        <w:left w:val="none" w:sz="0" w:space="0" w:color="auto"/>
        <w:bottom w:val="none" w:sz="0" w:space="0" w:color="auto"/>
        <w:right w:val="none" w:sz="0" w:space="0" w:color="auto"/>
      </w:divBdr>
      <w:divsChild>
        <w:div w:id="441999411">
          <w:marLeft w:val="0"/>
          <w:marRight w:val="0"/>
          <w:marTop w:val="0"/>
          <w:marBottom w:val="240"/>
          <w:divBdr>
            <w:top w:val="none" w:sz="0" w:space="0" w:color="auto"/>
            <w:left w:val="none" w:sz="0" w:space="0" w:color="auto"/>
            <w:bottom w:val="none" w:sz="0" w:space="0" w:color="auto"/>
            <w:right w:val="none" w:sz="0" w:space="0" w:color="auto"/>
          </w:divBdr>
        </w:div>
        <w:div w:id="788010805">
          <w:marLeft w:val="0"/>
          <w:marRight w:val="0"/>
          <w:marTop w:val="0"/>
          <w:marBottom w:val="240"/>
          <w:divBdr>
            <w:top w:val="none" w:sz="0" w:space="0" w:color="auto"/>
            <w:left w:val="none" w:sz="0" w:space="0" w:color="auto"/>
            <w:bottom w:val="none" w:sz="0" w:space="0" w:color="auto"/>
            <w:right w:val="none" w:sz="0" w:space="0" w:color="auto"/>
          </w:divBdr>
        </w:div>
        <w:div w:id="1848135187">
          <w:marLeft w:val="0"/>
          <w:marRight w:val="0"/>
          <w:marTop w:val="0"/>
          <w:marBottom w:val="240"/>
          <w:divBdr>
            <w:top w:val="none" w:sz="0" w:space="0" w:color="auto"/>
            <w:left w:val="none" w:sz="0" w:space="0" w:color="auto"/>
            <w:bottom w:val="none" w:sz="0" w:space="0" w:color="auto"/>
            <w:right w:val="none" w:sz="0" w:space="0" w:color="auto"/>
          </w:divBdr>
        </w:div>
      </w:divsChild>
    </w:div>
    <w:div w:id="1514881235">
      <w:bodyDiv w:val="1"/>
      <w:marLeft w:val="0"/>
      <w:marRight w:val="0"/>
      <w:marTop w:val="0"/>
      <w:marBottom w:val="0"/>
      <w:divBdr>
        <w:top w:val="none" w:sz="0" w:space="0" w:color="auto"/>
        <w:left w:val="none" w:sz="0" w:space="0" w:color="auto"/>
        <w:bottom w:val="none" w:sz="0" w:space="0" w:color="auto"/>
        <w:right w:val="none" w:sz="0" w:space="0" w:color="auto"/>
      </w:divBdr>
    </w:div>
    <w:div w:id="1516185619">
      <w:bodyDiv w:val="1"/>
      <w:marLeft w:val="0"/>
      <w:marRight w:val="0"/>
      <w:marTop w:val="0"/>
      <w:marBottom w:val="0"/>
      <w:divBdr>
        <w:top w:val="none" w:sz="0" w:space="0" w:color="auto"/>
        <w:left w:val="none" w:sz="0" w:space="0" w:color="auto"/>
        <w:bottom w:val="none" w:sz="0" w:space="0" w:color="auto"/>
        <w:right w:val="none" w:sz="0" w:space="0" w:color="auto"/>
      </w:divBdr>
      <w:divsChild>
        <w:div w:id="756630904">
          <w:marLeft w:val="0"/>
          <w:marRight w:val="0"/>
          <w:marTop w:val="0"/>
          <w:marBottom w:val="240"/>
          <w:divBdr>
            <w:top w:val="none" w:sz="0" w:space="0" w:color="auto"/>
            <w:left w:val="none" w:sz="0" w:space="0" w:color="auto"/>
            <w:bottom w:val="none" w:sz="0" w:space="0" w:color="auto"/>
            <w:right w:val="none" w:sz="0" w:space="0" w:color="auto"/>
          </w:divBdr>
        </w:div>
        <w:div w:id="903491233">
          <w:marLeft w:val="0"/>
          <w:marRight w:val="0"/>
          <w:marTop w:val="0"/>
          <w:marBottom w:val="0"/>
          <w:divBdr>
            <w:top w:val="none" w:sz="0" w:space="0" w:color="auto"/>
            <w:left w:val="none" w:sz="0" w:space="0" w:color="auto"/>
            <w:bottom w:val="none" w:sz="0" w:space="0" w:color="auto"/>
            <w:right w:val="none" w:sz="0" w:space="0" w:color="auto"/>
          </w:divBdr>
        </w:div>
      </w:divsChild>
    </w:div>
    <w:div w:id="1571039523">
      <w:bodyDiv w:val="1"/>
      <w:marLeft w:val="0"/>
      <w:marRight w:val="0"/>
      <w:marTop w:val="0"/>
      <w:marBottom w:val="0"/>
      <w:divBdr>
        <w:top w:val="none" w:sz="0" w:space="0" w:color="auto"/>
        <w:left w:val="none" w:sz="0" w:space="0" w:color="auto"/>
        <w:bottom w:val="none" w:sz="0" w:space="0" w:color="auto"/>
        <w:right w:val="none" w:sz="0" w:space="0" w:color="auto"/>
      </w:divBdr>
      <w:divsChild>
        <w:div w:id="348991420">
          <w:marLeft w:val="0"/>
          <w:marRight w:val="0"/>
          <w:marTop w:val="0"/>
          <w:marBottom w:val="0"/>
          <w:divBdr>
            <w:top w:val="none" w:sz="0" w:space="0" w:color="auto"/>
            <w:left w:val="none" w:sz="0" w:space="0" w:color="auto"/>
            <w:bottom w:val="none" w:sz="0" w:space="0" w:color="auto"/>
            <w:right w:val="none" w:sz="0" w:space="0" w:color="auto"/>
          </w:divBdr>
        </w:div>
      </w:divsChild>
    </w:div>
    <w:div w:id="1587377773">
      <w:bodyDiv w:val="1"/>
      <w:marLeft w:val="0"/>
      <w:marRight w:val="0"/>
      <w:marTop w:val="0"/>
      <w:marBottom w:val="0"/>
      <w:divBdr>
        <w:top w:val="none" w:sz="0" w:space="0" w:color="auto"/>
        <w:left w:val="none" w:sz="0" w:space="0" w:color="auto"/>
        <w:bottom w:val="none" w:sz="0" w:space="0" w:color="auto"/>
        <w:right w:val="none" w:sz="0" w:space="0" w:color="auto"/>
      </w:divBdr>
    </w:div>
    <w:div w:id="1602689695">
      <w:bodyDiv w:val="1"/>
      <w:marLeft w:val="0"/>
      <w:marRight w:val="0"/>
      <w:marTop w:val="0"/>
      <w:marBottom w:val="0"/>
      <w:divBdr>
        <w:top w:val="none" w:sz="0" w:space="0" w:color="auto"/>
        <w:left w:val="none" w:sz="0" w:space="0" w:color="auto"/>
        <w:bottom w:val="none" w:sz="0" w:space="0" w:color="auto"/>
        <w:right w:val="none" w:sz="0" w:space="0" w:color="auto"/>
      </w:divBdr>
      <w:divsChild>
        <w:div w:id="1327516727">
          <w:marLeft w:val="0"/>
          <w:marRight w:val="0"/>
          <w:marTop w:val="0"/>
          <w:marBottom w:val="240"/>
          <w:divBdr>
            <w:top w:val="none" w:sz="0" w:space="0" w:color="auto"/>
            <w:left w:val="none" w:sz="0" w:space="0" w:color="auto"/>
            <w:bottom w:val="none" w:sz="0" w:space="0" w:color="auto"/>
            <w:right w:val="none" w:sz="0" w:space="0" w:color="auto"/>
          </w:divBdr>
        </w:div>
        <w:div w:id="176967331">
          <w:marLeft w:val="0"/>
          <w:marRight w:val="0"/>
          <w:marTop w:val="0"/>
          <w:marBottom w:val="240"/>
          <w:divBdr>
            <w:top w:val="none" w:sz="0" w:space="0" w:color="auto"/>
            <w:left w:val="none" w:sz="0" w:space="0" w:color="auto"/>
            <w:bottom w:val="none" w:sz="0" w:space="0" w:color="auto"/>
            <w:right w:val="none" w:sz="0" w:space="0" w:color="auto"/>
          </w:divBdr>
        </w:div>
        <w:div w:id="1458059588">
          <w:marLeft w:val="0"/>
          <w:marRight w:val="0"/>
          <w:marTop w:val="0"/>
          <w:marBottom w:val="240"/>
          <w:divBdr>
            <w:top w:val="none" w:sz="0" w:space="0" w:color="auto"/>
            <w:left w:val="none" w:sz="0" w:space="0" w:color="auto"/>
            <w:bottom w:val="none" w:sz="0" w:space="0" w:color="auto"/>
            <w:right w:val="none" w:sz="0" w:space="0" w:color="auto"/>
          </w:divBdr>
        </w:div>
        <w:div w:id="2083676826">
          <w:marLeft w:val="0"/>
          <w:marRight w:val="0"/>
          <w:marTop w:val="0"/>
          <w:marBottom w:val="240"/>
          <w:divBdr>
            <w:top w:val="none" w:sz="0" w:space="0" w:color="auto"/>
            <w:left w:val="none" w:sz="0" w:space="0" w:color="auto"/>
            <w:bottom w:val="none" w:sz="0" w:space="0" w:color="auto"/>
            <w:right w:val="none" w:sz="0" w:space="0" w:color="auto"/>
          </w:divBdr>
        </w:div>
      </w:divsChild>
    </w:div>
    <w:div w:id="1686009979">
      <w:bodyDiv w:val="1"/>
      <w:marLeft w:val="0"/>
      <w:marRight w:val="0"/>
      <w:marTop w:val="0"/>
      <w:marBottom w:val="0"/>
      <w:divBdr>
        <w:top w:val="none" w:sz="0" w:space="0" w:color="auto"/>
        <w:left w:val="none" w:sz="0" w:space="0" w:color="auto"/>
        <w:bottom w:val="none" w:sz="0" w:space="0" w:color="auto"/>
        <w:right w:val="none" w:sz="0" w:space="0" w:color="auto"/>
      </w:divBdr>
      <w:divsChild>
        <w:div w:id="1037782272">
          <w:marLeft w:val="0"/>
          <w:marRight w:val="0"/>
          <w:marTop w:val="0"/>
          <w:marBottom w:val="0"/>
          <w:divBdr>
            <w:top w:val="none" w:sz="0" w:space="0" w:color="auto"/>
            <w:left w:val="none" w:sz="0" w:space="0" w:color="auto"/>
            <w:bottom w:val="none" w:sz="0" w:space="0" w:color="auto"/>
            <w:right w:val="none" w:sz="0" w:space="0" w:color="auto"/>
          </w:divBdr>
        </w:div>
        <w:div w:id="455373520">
          <w:marLeft w:val="0"/>
          <w:marRight w:val="0"/>
          <w:marTop w:val="0"/>
          <w:marBottom w:val="0"/>
          <w:divBdr>
            <w:top w:val="none" w:sz="0" w:space="0" w:color="auto"/>
            <w:left w:val="none" w:sz="0" w:space="0" w:color="auto"/>
            <w:bottom w:val="none" w:sz="0" w:space="0" w:color="auto"/>
            <w:right w:val="none" w:sz="0" w:space="0" w:color="auto"/>
          </w:divBdr>
        </w:div>
        <w:div w:id="944851022">
          <w:marLeft w:val="0"/>
          <w:marRight w:val="0"/>
          <w:marTop w:val="0"/>
          <w:marBottom w:val="0"/>
          <w:divBdr>
            <w:top w:val="none" w:sz="0" w:space="0" w:color="auto"/>
            <w:left w:val="none" w:sz="0" w:space="0" w:color="auto"/>
            <w:bottom w:val="none" w:sz="0" w:space="0" w:color="auto"/>
            <w:right w:val="none" w:sz="0" w:space="0" w:color="auto"/>
          </w:divBdr>
        </w:div>
        <w:div w:id="3215170">
          <w:marLeft w:val="0"/>
          <w:marRight w:val="0"/>
          <w:marTop w:val="0"/>
          <w:marBottom w:val="0"/>
          <w:divBdr>
            <w:top w:val="none" w:sz="0" w:space="0" w:color="auto"/>
            <w:left w:val="none" w:sz="0" w:space="0" w:color="auto"/>
            <w:bottom w:val="none" w:sz="0" w:space="0" w:color="auto"/>
            <w:right w:val="none" w:sz="0" w:space="0" w:color="auto"/>
          </w:divBdr>
        </w:div>
      </w:divsChild>
    </w:div>
    <w:div w:id="1722289110">
      <w:bodyDiv w:val="1"/>
      <w:marLeft w:val="0"/>
      <w:marRight w:val="0"/>
      <w:marTop w:val="0"/>
      <w:marBottom w:val="0"/>
      <w:divBdr>
        <w:top w:val="none" w:sz="0" w:space="0" w:color="auto"/>
        <w:left w:val="none" w:sz="0" w:space="0" w:color="auto"/>
        <w:bottom w:val="none" w:sz="0" w:space="0" w:color="auto"/>
        <w:right w:val="none" w:sz="0" w:space="0" w:color="auto"/>
      </w:divBdr>
    </w:div>
    <w:div w:id="1757045891">
      <w:bodyDiv w:val="1"/>
      <w:marLeft w:val="0"/>
      <w:marRight w:val="0"/>
      <w:marTop w:val="0"/>
      <w:marBottom w:val="0"/>
      <w:divBdr>
        <w:top w:val="none" w:sz="0" w:space="0" w:color="auto"/>
        <w:left w:val="none" w:sz="0" w:space="0" w:color="auto"/>
        <w:bottom w:val="none" w:sz="0" w:space="0" w:color="auto"/>
        <w:right w:val="none" w:sz="0" w:space="0" w:color="auto"/>
      </w:divBdr>
    </w:div>
    <w:div w:id="1788037253">
      <w:bodyDiv w:val="1"/>
      <w:marLeft w:val="0"/>
      <w:marRight w:val="0"/>
      <w:marTop w:val="0"/>
      <w:marBottom w:val="0"/>
      <w:divBdr>
        <w:top w:val="none" w:sz="0" w:space="0" w:color="auto"/>
        <w:left w:val="none" w:sz="0" w:space="0" w:color="auto"/>
        <w:bottom w:val="none" w:sz="0" w:space="0" w:color="auto"/>
        <w:right w:val="none" w:sz="0" w:space="0" w:color="auto"/>
      </w:divBdr>
    </w:div>
    <w:div w:id="1861433846">
      <w:bodyDiv w:val="1"/>
      <w:marLeft w:val="0"/>
      <w:marRight w:val="0"/>
      <w:marTop w:val="0"/>
      <w:marBottom w:val="0"/>
      <w:divBdr>
        <w:top w:val="none" w:sz="0" w:space="0" w:color="auto"/>
        <w:left w:val="none" w:sz="0" w:space="0" w:color="auto"/>
        <w:bottom w:val="none" w:sz="0" w:space="0" w:color="auto"/>
        <w:right w:val="none" w:sz="0" w:space="0" w:color="auto"/>
      </w:divBdr>
    </w:div>
    <w:div w:id="1863666356">
      <w:bodyDiv w:val="1"/>
      <w:marLeft w:val="0"/>
      <w:marRight w:val="0"/>
      <w:marTop w:val="0"/>
      <w:marBottom w:val="0"/>
      <w:divBdr>
        <w:top w:val="none" w:sz="0" w:space="0" w:color="auto"/>
        <w:left w:val="none" w:sz="0" w:space="0" w:color="auto"/>
        <w:bottom w:val="none" w:sz="0" w:space="0" w:color="auto"/>
        <w:right w:val="none" w:sz="0" w:space="0" w:color="auto"/>
      </w:divBdr>
    </w:div>
    <w:div w:id="1867256621">
      <w:bodyDiv w:val="1"/>
      <w:marLeft w:val="0"/>
      <w:marRight w:val="0"/>
      <w:marTop w:val="0"/>
      <w:marBottom w:val="0"/>
      <w:divBdr>
        <w:top w:val="none" w:sz="0" w:space="0" w:color="auto"/>
        <w:left w:val="none" w:sz="0" w:space="0" w:color="auto"/>
        <w:bottom w:val="none" w:sz="0" w:space="0" w:color="auto"/>
        <w:right w:val="none" w:sz="0" w:space="0" w:color="auto"/>
      </w:divBdr>
    </w:div>
    <w:div w:id="2028482215">
      <w:bodyDiv w:val="1"/>
      <w:marLeft w:val="0"/>
      <w:marRight w:val="0"/>
      <w:marTop w:val="0"/>
      <w:marBottom w:val="0"/>
      <w:divBdr>
        <w:top w:val="none" w:sz="0" w:space="0" w:color="auto"/>
        <w:left w:val="none" w:sz="0" w:space="0" w:color="auto"/>
        <w:bottom w:val="none" w:sz="0" w:space="0" w:color="auto"/>
        <w:right w:val="none" w:sz="0" w:space="0" w:color="auto"/>
      </w:divBdr>
      <w:divsChild>
        <w:div w:id="351343265">
          <w:marLeft w:val="0"/>
          <w:marRight w:val="0"/>
          <w:marTop w:val="0"/>
          <w:marBottom w:val="240"/>
          <w:divBdr>
            <w:top w:val="none" w:sz="0" w:space="0" w:color="auto"/>
            <w:left w:val="none" w:sz="0" w:space="0" w:color="auto"/>
            <w:bottom w:val="none" w:sz="0" w:space="0" w:color="auto"/>
            <w:right w:val="none" w:sz="0" w:space="0" w:color="auto"/>
          </w:divBdr>
        </w:div>
        <w:div w:id="940801794">
          <w:marLeft w:val="0"/>
          <w:marRight w:val="0"/>
          <w:marTop w:val="0"/>
          <w:marBottom w:val="240"/>
          <w:divBdr>
            <w:top w:val="none" w:sz="0" w:space="0" w:color="auto"/>
            <w:left w:val="none" w:sz="0" w:space="0" w:color="auto"/>
            <w:bottom w:val="none" w:sz="0" w:space="0" w:color="auto"/>
            <w:right w:val="none" w:sz="0" w:space="0" w:color="auto"/>
          </w:divBdr>
        </w:div>
        <w:div w:id="468284584">
          <w:marLeft w:val="0"/>
          <w:marRight w:val="0"/>
          <w:marTop w:val="0"/>
          <w:marBottom w:val="240"/>
          <w:divBdr>
            <w:top w:val="none" w:sz="0" w:space="0" w:color="auto"/>
            <w:left w:val="none" w:sz="0" w:space="0" w:color="auto"/>
            <w:bottom w:val="none" w:sz="0" w:space="0" w:color="auto"/>
            <w:right w:val="none" w:sz="0" w:space="0" w:color="auto"/>
          </w:divBdr>
        </w:div>
      </w:divsChild>
    </w:div>
    <w:div w:id="2065325445">
      <w:bodyDiv w:val="1"/>
      <w:marLeft w:val="0"/>
      <w:marRight w:val="0"/>
      <w:marTop w:val="0"/>
      <w:marBottom w:val="0"/>
      <w:divBdr>
        <w:top w:val="none" w:sz="0" w:space="0" w:color="auto"/>
        <w:left w:val="none" w:sz="0" w:space="0" w:color="auto"/>
        <w:bottom w:val="none" w:sz="0" w:space="0" w:color="auto"/>
        <w:right w:val="none" w:sz="0" w:space="0" w:color="auto"/>
      </w:divBdr>
    </w:div>
    <w:div w:id="2100443200">
      <w:bodyDiv w:val="1"/>
      <w:marLeft w:val="0"/>
      <w:marRight w:val="0"/>
      <w:marTop w:val="0"/>
      <w:marBottom w:val="0"/>
      <w:divBdr>
        <w:top w:val="none" w:sz="0" w:space="0" w:color="auto"/>
        <w:left w:val="none" w:sz="0" w:space="0" w:color="auto"/>
        <w:bottom w:val="none" w:sz="0" w:space="0" w:color="auto"/>
        <w:right w:val="none" w:sz="0" w:space="0" w:color="auto"/>
      </w:divBdr>
    </w:div>
    <w:div w:id="2128573010">
      <w:bodyDiv w:val="1"/>
      <w:marLeft w:val="0"/>
      <w:marRight w:val="0"/>
      <w:marTop w:val="0"/>
      <w:marBottom w:val="0"/>
      <w:divBdr>
        <w:top w:val="none" w:sz="0" w:space="0" w:color="auto"/>
        <w:left w:val="none" w:sz="0" w:space="0" w:color="auto"/>
        <w:bottom w:val="none" w:sz="0" w:space="0" w:color="auto"/>
        <w:right w:val="none" w:sz="0" w:space="0" w:color="auto"/>
      </w:divBdr>
      <w:divsChild>
        <w:div w:id="247158455">
          <w:marLeft w:val="0"/>
          <w:marRight w:val="0"/>
          <w:marTop w:val="0"/>
          <w:marBottom w:val="240"/>
          <w:divBdr>
            <w:top w:val="none" w:sz="0" w:space="0" w:color="auto"/>
            <w:left w:val="none" w:sz="0" w:space="0" w:color="auto"/>
            <w:bottom w:val="none" w:sz="0" w:space="0" w:color="auto"/>
            <w:right w:val="none" w:sz="0" w:space="0" w:color="auto"/>
          </w:divBdr>
        </w:div>
        <w:div w:id="1573614027">
          <w:marLeft w:val="0"/>
          <w:marRight w:val="0"/>
          <w:marTop w:val="0"/>
          <w:marBottom w:val="240"/>
          <w:divBdr>
            <w:top w:val="none" w:sz="0" w:space="0" w:color="auto"/>
            <w:left w:val="none" w:sz="0" w:space="0" w:color="auto"/>
            <w:bottom w:val="none" w:sz="0" w:space="0" w:color="auto"/>
            <w:right w:val="none" w:sz="0" w:space="0" w:color="auto"/>
          </w:divBdr>
        </w:div>
        <w:div w:id="767459229">
          <w:marLeft w:val="0"/>
          <w:marRight w:val="0"/>
          <w:marTop w:val="0"/>
          <w:marBottom w:val="240"/>
          <w:divBdr>
            <w:top w:val="none" w:sz="0" w:space="0" w:color="auto"/>
            <w:left w:val="none" w:sz="0" w:space="0" w:color="auto"/>
            <w:bottom w:val="none" w:sz="0" w:space="0" w:color="auto"/>
            <w:right w:val="none" w:sz="0" w:space="0" w:color="auto"/>
          </w:divBdr>
        </w:div>
        <w:div w:id="1299451804">
          <w:marLeft w:val="0"/>
          <w:marRight w:val="0"/>
          <w:marTop w:val="0"/>
          <w:marBottom w:val="240"/>
          <w:divBdr>
            <w:top w:val="none" w:sz="0" w:space="0" w:color="auto"/>
            <w:left w:val="none" w:sz="0" w:space="0" w:color="auto"/>
            <w:bottom w:val="none" w:sz="0" w:space="0" w:color="auto"/>
            <w:right w:val="none" w:sz="0" w:space="0" w:color="auto"/>
          </w:divBdr>
        </w:div>
        <w:div w:id="1865896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D01537-DE6A-4D36-87DA-DE246F93B743}">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C13B8-8F68-402A-9AF3-55548BB2A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12</Pages>
  <Words>4999</Words>
  <Characters>5936</Characters>
  <Application>Microsoft Office Word</Application>
  <DocSecurity>0</DocSecurity>
  <Lines>272</Lines>
  <Paragraphs>161</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秦始皇</dc:creator>
  <cp:keywords/>
  <dc:description/>
  <cp:lastModifiedBy>秦始皇</cp:lastModifiedBy>
  <cp:revision>58</cp:revision>
  <cp:lastPrinted>2026-07-16T05:16:00Z</cp:lastPrinted>
  <dcterms:created xsi:type="dcterms:W3CDTF">2026-07-15T10:06:00Z</dcterms:created>
  <dcterms:modified xsi:type="dcterms:W3CDTF">2026-07-16T08:32:00Z</dcterms:modified>
</cp:coreProperties>
</file>