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FE091" w14:textId="77777777" w:rsidR="00CE5C61" w:rsidRDefault="005A6933">
      <w:pPr>
        <w:pStyle w:val="2"/>
      </w:pPr>
      <w:r>
        <w:rPr>
          <w:rFonts w:hint="eastAsia"/>
        </w:rPr>
        <w:t>赛题背景：欧洲产能转移引发的全球油化产业链条重构</w:t>
      </w:r>
    </w:p>
    <w:p w14:paraId="780399E8" w14:textId="77777777" w:rsidR="00CE5C61" w:rsidRDefault="005A6933">
      <w:pPr>
        <w:ind w:firstLineChars="202" w:firstLine="424"/>
      </w:pPr>
      <w:r>
        <w:rPr>
          <w:rFonts w:hint="eastAsia"/>
        </w:rPr>
        <w:t>欧洲炼化行业正面临成本高企、设施老化与需求萎缩的三重压力。截至</w:t>
      </w:r>
      <w:r>
        <w:rPr>
          <w:rFonts w:hint="eastAsia"/>
        </w:rPr>
        <w:t>2025</w:t>
      </w:r>
      <w:r>
        <w:rPr>
          <w:rFonts w:hint="eastAsia"/>
        </w:rPr>
        <w:t>年，欧洲炼厂平均年龄已达</w:t>
      </w:r>
      <w:r>
        <w:rPr>
          <w:rFonts w:hint="eastAsia"/>
        </w:rPr>
        <w:t>66</w:t>
      </w:r>
      <w:r>
        <w:rPr>
          <w:rFonts w:hint="eastAsia"/>
        </w:rPr>
        <w:t>岁，高出全球平均的</w:t>
      </w:r>
      <w:r>
        <w:rPr>
          <w:rFonts w:hint="eastAsia"/>
        </w:rPr>
        <w:t>51</w:t>
      </w:r>
      <w:r>
        <w:rPr>
          <w:rFonts w:hint="eastAsia"/>
        </w:rPr>
        <w:t>岁，自</w:t>
      </w:r>
      <w:r>
        <w:rPr>
          <w:rFonts w:hint="eastAsia"/>
        </w:rPr>
        <w:t>2005</w:t>
      </w:r>
      <w:r>
        <w:rPr>
          <w:rFonts w:hint="eastAsia"/>
        </w:rPr>
        <w:t>年以来产能已萎缩</w:t>
      </w:r>
      <w:r>
        <w:rPr>
          <w:rFonts w:hint="eastAsia"/>
        </w:rPr>
        <w:t>23%</w:t>
      </w:r>
      <w:r>
        <w:rPr>
          <w:rFonts w:hint="eastAsia"/>
        </w:rPr>
        <w:t>，关闭了约</w:t>
      </w:r>
      <w:r>
        <w:rPr>
          <w:rFonts w:hint="eastAsia"/>
        </w:rPr>
        <w:t>50</w:t>
      </w:r>
      <w:r>
        <w:rPr>
          <w:rFonts w:hint="eastAsia"/>
        </w:rPr>
        <w:t>家炼厂。与此同时，欧洲碳税持续攀升，预计到</w:t>
      </w:r>
      <w:r>
        <w:rPr>
          <w:rFonts w:hint="eastAsia"/>
        </w:rPr>
        <w:t>2035</w:t>
      </w:r>
      <w:r>
        <w:rPr>
          <w:rFonts w:hint="eastAsia"/>
        </w:rPr>
        <w:t>年将达全球平均水平三倍。壳牌的莱茵兰炼厂、英国石油的盖尔森基兴炼厂及中石油与英力士合资的格兰杰默斯炼厂都计划在</w:t>
      </w:r>
      <w:r>
        <w:rPr>
          <w:rFonts w:hint="eastAsia"/>
        </w:rPr>
        <w:t>2025</w:t>
      </w:r>
      <w:r>
        <w:rPr>
          <w:rFonts w:hint="eastAsia"/>
        </w:rPr>
        <w:t>年关停，合计退出产能</w:t>
      </w:r>
      <w:r>
        <w:rPr>
          <w:rFonts w:hint="eastAsia"/>
        </w:rPr>
        <w:t>39</w:t>
      </w:r>
      <w:r>
        <w:rPr>
          <w:rFonts w:hint="eastAsia"/>
        </w:rPr>
        <w:t>万桶</w:t>
      </w:r>
      <w:r>
        <w:rPr>
          <w:rFonts w:hint="eastAsia"/>
        </w:rPr>
        <w:t>/</w:t>
      </w:r>
      <w:r>
        <w:rPr>
          <w:rFonts w:hint="eastAsia"/>
        </w:rPr>
        <w:t>天。</w:t>
      </w:r>
    </w:p>
    <w:p w14:paraId="09DECEAF" w14:textId="77777777" w:rsidR="00CE5C61" w:rsidRDefault="005A6933">
      <w:pPr>
        <w:ind w:firstLineChars="202" w:firstLine="424"/>
      </w:pPr>
      <w:r>
        <w:rPr>
          <w:rFonts w:hint="eastAsia"/>
        </w:rPr>
        <w:t>与此形成对比的是，中国正在加速炼化一体化转型，巴斯夫等巨头企业在中国沿海兴建炼化一体生产基地。《石化产业规划布局方案》提出，到</w:t>
      </w:r>
      <w:r>
        <w:rPr>
          <w:rFonts w:hint="eastAsia"/>
        </w:rPr>
        <w:t>2025</w:t>
      </w:r>
      <w:r>
        <w:rPr>
          <w:rFonts w:hint="eastAsia"/>
        </w:rPr>
        <w:t>年全</w:t>
      </w:r>
      <w:r>
        <w:rPr>
          <w:rFonts w:hint="eastAsia"/>
        </w:rPr>
        <w:t>国化工轻油收率将提升至</w:t>
      </w:r>
      <w:r>
        <w:rPr>
          <w:rFonts w:hint="eastAsia"/>
        </w:rPr>
        <w:t>28%</w:t>
      </w:r>
      <w:r>
        <w:rPr>
          <w:rFonts w:hint="eastAsia"/>
        </w:rPr>
        <w:t>。这种一消一长的态势，正引发全球能源贸易格局与海运体系的深刻变革。</w:t>
      </w:r>
    </w:p>
    <w:p w14:paraId="282CF839" w14:textId="6D3C1F87" w:rsidR="00CE5C61" w:rsidRDefault="005A6933">
      <w:pPr>
        <w:pStyle w:val="2"/>
        <w:rPr>
          <w:rFonts w:eastAsiaTheme="minorEastAsia"/>
        </w:rPr>
      </w:pPr>
      <w:r>
        <w:rPr>
          <w:rFonts w:hint="eastAsia"/>
        </w:rPr>
        <w:t>决赛题目</w:t>
      </w:r>
    </w:p>
    <w:p w14:paraId="15366F15" w14:textId="77777777" w:rsidR="00CE5C61" w:rsidRDefault="005A6933">
      <w:pPr>
        <w:pStyle w:val="3"/>
      </w:pPr>
      <w:r>
        <w:rPr>
          <w:rFonts w:hint="eastAsia"/>
        </w:rPr>
        <w:t>任务一：贸易流向与航运需求变化分析</w:t>
      </w:r>
    </w:p>
    <w:p w14:paraId="7382106D" w14:textId="77777777" w:rsidR="00CE5C61" w:rsidRDefault="005A6933">
      <w:r>
        <w:rPr>
          <w:rFonts w:hint="eastAsia"/>
        </w:rPr>
        <w:t>1.</w:t>
      </w:r>
      <w:r>
        <w:rPr>
          <w:rFonts w:hint="eastAsia"/>
        </w:rPr>
        <w:t>根据欧洲炼厂关闭与中国产能扩张数据，分析全球原油与成品油贸易流向的主要变化趋势。</w:t>
      </w:r>
    </w:p>
    <w:p w14:paraId="73521E65" w14:textId="77777777" w:rsidR="00CE5C61" w:rsidRDefault="005A6933">
      <w:r>
        <w:rPr>
          <w:rFonts w:hint="eastAsia"/>
        </w:rPr>
        <w:t>2.</w:t>
      </w:r>
      <w:r>
        <w:rPr>
          <w:rFonts w:hint="eastAsia"/>
        </w:rPr>
        <w:t>结合贸易流向变化，估算未来</w:t>
      </w:r>
      <w:r>
        <w:rPr>
          <w:rFonts w:hint="eastAsia"/>
        </w:rPr>
        <w:t>2</w:t>
      </w:r>
      <w:r>
        <w:rPr>
          <w:rFonts w:hint="eastAsia"/>
        </w:rPr>
        <w:t>–</w:t>
      </w:r>
      <w:r>
        <w:rPr>
          <w:rFonts w:hint="eastAsia"/>
        </w:rPr>
        <w:t>3</w:t>
      </w:r>
      <w:r>
        <w:rPr>
          <w:rFonts w:hint="eastAsia"/>
        </w:rPr>
        <w:t>年（至</w:t>
      </w:r>
      <w:r>
        <w:rPr>
          <w:rFonts w:hint="eastAsia"/>
        </w:rPr>
        <w:t>2028</w:t>
      </w:r>
      <w:r>
        <w:rPr>
          <w:rFonts w:hint="eastAsia"/>
        </w:rPr>
        <w:t>年）主要航线的油化品海运需求增减趋势。</w:t>
      </w:r>
    </w:p>
    <w:p w14:paraId="2B8F537E" w14:textId="77777777" w:rsidR="00CE5C61" w:rsidRDefault="005A6933">
      <w:r>
        <w:rPr>
          <w:rFonts w:hint="eastAsia"/>
        </w:rPr>
        <w:t>3.</w:t>
      </w:r>
      <w:r>
        <w:rPr>
          <w:rFonts w:hint="eastAsia"/>
        </w:rPr>
        <w:t>对比</w:t>
      </w:r>
      <w:r>
        <w:rPr>
          <w:rFonts w:hint="eastAsia"/>
        </w:rPr>
        <w:t>MR</w:t>
      </w:r>
      <w:r>
        <w:rPr>
          <w:rFonts w:hint="eastAsia"/>
        </w:rPr>
        <w:t>型、阿芙拉型、</w:t>
      </w:r>
      <w:r>
        <w:rPr>
          <w:rFonts w:hint="eastAsia"/>
        </w:rPr>
        <w:t>VLCC</w:t>
      </w:r>
      <w:r>
        <w:rPr>
          <w:rFonts w:hint="eastAsia"/>
        </w:rPr>
        <w:t>等典型船型的运力匹配状况，指出最可能出现运力缺口的区域或航线。</w:t>
      </w:r>
    </w:p>
    <w:p w14:paraId="740E846A" w14:textId="77777777" w:rsidR="00CE5C61" w:rsidRDefault="005A6933">
      <w:pPr>
        <w:pStyle w:val="3"/>
      </w:pPr>
      <w:r>
        <w:rPr>
          <w:rFonts w:hint="eastAsia"/>
        </w:rPr>
        <w:t>任务二：海运需求测算与运力匹配度分</w:t>
      </w:r>
      <w:r>
        <w:rPr>
          <w:rFonts w:hint="eastAsia"/>
        </w:rPr>
        <w:t>析</w:t>
      </w:r>
    </w:p>
    <w:p w14:paraId="6BFAC03B" w14:textId="77777777" w:rsidR="00CE5C61" w:rsidRDefault="005A6933">
      <w:r>
        <w:rPr>
          <w:rFonts w:hint="eastAsia"/>
        </w:rPr>
        <w:t>1.</w:t>
      </w:r>
      <w:r>
        <w:rPr>
          <w:rFonts w:hint="eastAsia"/>
        </w:rPr>
        <w:t>测算不同贸易路线下的海运需求，分析</w:t>
      </w:r>
      <w:r>
        <w:rPr>
          <w:rFonts w:hint="eastAsia"/>
        </w:rPr>
        <w:t>MR</w:t>
      </w:r>
      <w:r>
        <w:rPr>
          <w:rFonts w:hint="eastAsia"/>
        </w:rPr>
        <w:t>型成品油轮、阿芙拉型油轮等船型的供需平衡。</w:t>
      </w:r>
    </w:p>
    <w:p w14:paraId="5799E712" w14:textId="77777777" w:rsidR="00CE5C61" w:rsidRDefault="005A6933">
      <w:r>
        <w:rPr>
          <w:rFonts w:hint="eastAsia"/>
        </w:rPr>
        <w:t>2.</w:t>
      </w:r>
      <w:r>
        <w:rPr>
          <w:rFonts w:hint="eastAsia"/>
        </w:rPr>
        <w:t>基于全球船队现状与订单数据，识别关键航线的运力缺口。并以</w:t>
      </w:r>
      <w:r>
        <w:rPr>
          <w:rFonts w:hint="eastAsia"/>
        </w:rPr>
        <w:t>2023</w:t>
      </w:r>
      <w:r>
        <w:rPr>
          <w:rFonts w:hint="eastAsia"/>
        </w:rPr>
        <w:t>年年末的红海危机为例，考虑苏伊士运河通行量下降</w:t>
      </w:r>
      <w:r>
        <w:rPr>
          <w:rFonts w:hint="eastAsia"/>
        </w:rPr>
        <w:t>70%</w:t>
      </w:r>
      <w:r>
        <w:rPr>
          <w:rFonts w:hint="eastAsia"/>
        </w:rPr>
        <w:t>的情况下出现的运力缺口以及替代方案的可行性。</w:t>
      </w:r>
    </w:p>
    <w:p w14:paraId="7DB9D396" w14:textId="77777777" w:rsidR="00CE5C61" w:rsidRDefault="005A6933">
      <w:pPr>
        <w:pStyle w:val="3"/>
        <w:keepNext w:val="0"/>
        <w:keepLines w:val="0"/>
        <w:widowControl/>
      </w:pPr>
      <w:r>
        <w:rPr>
          <w:rStyle w:val="a9"/>
          <w:b/>
        </w:rPr>
        <w:t>任务</w:t>
      </w:r>
      <w:r>
        <w:rPr>
          <w:rStyle w:val="a9"/>
          <w:rFonts w:hint="eastAsia"/>
          <w:b/>
        </w:rPr>
        <w:t>三</w:t>
      </w:r>
      <w:r>
        <w:rPr>
          <w:rStyle w:val="a9"/>
          <w:b/>
        </w:rPr>
        <w:t>：油化运输市场前景预测</w:t>
      </w:r>
    </w:p>
    <w:p w14:paraId="3C278775" w14:textId="77777777" w:rsidR="00CE5C61" w:rsidRDefault="005A6933">
      <w:r>
        <w:rPr>
          <w:rFonts w:hint="eastAsia"/>
        </w:rPr>
        <w:t>1.</w:t>
      </w:r>
      <w:r>
        <w:rPr>
          <w:rFonts w:hint="eastAsia"/>
        </w:rPr>
        <w:t>预测</w:t>
      </w:r>
      <w:r>
        <w:rPr>
          <w:rFonts w:hint="eastAsia"/>
        </w:rPr>
        <w:t>未来</w:t>
      </w:r>
      <w:r>
        <w:rPr>
          <w:rFonts w:hint="eastAsia"/>
        </w:rPr>
        <w:t>3</w:t>
      </w:r>
      <w:r>
        <w:rPr>
          <w:rFonts w:hint="eastAsia"/>
        </w:rPr>
        <w:t>年内（</w:t>
      </w:r>
      <w:r>
        <w:rPr>
          <w:rFonts w:hint="eastAsia"/>
        </w:rPr>
        <w:t>2026-2028</w:t>
      </w:r>
      <w:r>
        <w:rPr>
          <w:rFonts w:hint="eastAsia"/>
        </w:rPr>
        <w:t>）</w:t>
      </w:r>
      <w:r>
        <w:rPr>
          <w:rFonts w:hint="eastAsia"/>
        </w:rPr>
        <w:t>油化运输市场的运价、租金水平及主要收益趋势</w:t>
      </w:r>
      <w:r>
        <w:rPr>
          <w:rFonts w:hint="eastAsia"/>
        </w:rPr>
        <w:t>，</w:t>
      </w:r>
      <w:r>
        <w:rPr>
          <w:rFonts w:hint="eastAsia"/>
        </w:rPr>
        <w:t>可结合航线供需、燃油价格、船舶新造价等指标进行估算或情景分析。</w:t>
      </w:r>
    </w:p>
    <w:p w14:paraId="1A736232" w14:textId="77777777" w:rsidR="00CE5C61" w:rsidRDefault="005A6933">
      <w:r>
        <w:rPr>
          <w:rFonts w:hint="eastAsia"/>
        </w:rPr>
        <w:t>2.</w:t>
      </w:r>
      <w:r>
        <w:rPr>
          <w:rFonts w:hint="eastAsia"/>
        </w:rPr>
        <w:t>（选做）评估中资船队在未来</w:t>
      </w:r>
      <w:r>
        <w:rPr>
          <w:rFonts w:hint="eastAsia"/>
        </w:rPr>
        <w:t>3</w:t>
      </w:r>
      <w:r>
        <w:rPr>
          <w:rFonts w:hint="eastAsia"/>
        </w:rPr>
        <w:t>年（</w:t>
      </w:r>
      <w:r>
        <w:rPr>
          <w:rFonts w:hint="eastAsia"/>
        </w:rPr>
        <w:t>2026</w:t>
      </w:r>
      <w:r>
        <w:rPr>
          <w:rFonts w:hint="eastAsia"/>
        </w:rPr>
        <w:t>–</w:t>
      </w:r>
      <w:r>
        <w:rPr>
          <w:rFonts w:hint="eastAsia"/>
        </w:rPr>
        <w:t>2028</w:t>
      </w:r>
      <w:r>
        <w:rPr>
          <w:rFonts w:hint="eastAsia"/>
        </w:rPr>
        <w:t>）为应对新的运输需求而扩</w:t>
      </w:r>
      <w:r>
        <w:rPr>
          <w:rFonts w:hint="eastAsia"/>
        </w:rPr>
        <w:t>张的必要性，以及所需的扩张规模与运力，并提出船型配置与绿色转型的策略建议。</w:t>
      </w:r>
    </w:p>
    <w:p w14:paraId="0A22209D" w14:textId="77777777" w:rsidR="00CE5C61" w:rsidRDefault="005A6933">
      <w:pPr>
        <w:pStyle w:val="3"/>
      </w:pPr>
      <w:r>
        <w:t>数据支持与使用说明</w:t>
      </w:r>
    </w:p>
    <w:p w14:paraId="19E5459F" w14:textId="77777777" w:rsidR="00CE5C61" w:rsidRDefault="005A6933">
      <w:r>
        <w:rPr>
          <w:rFonts w:hint="eastAsia"/>
        </w:rPr>
        <w:t>赛事主办方提供下列数据：</w:t>
      </w:r>
    </w:p>
    <w:p w14:paraId="02CE854B" w14:textId="77777777" w:rsidR="00CE5C61" w:rsidRDefault="005A6933">
      <w:pPr>
        <w:pStyle w:val="aa"/>
        <w:numPr>
          <w:ilvl w:val="0"/>
          <w:numId w:val="1"/>
        </w:numPr>
        <w:ind w:firstLineChars="0"/>
      </w:pPr>
      <w:r>
        <w:rPr>
          <w:rFonts w:hint="eastAsia"/>
        </w:rPr>
        <w:t>原油贸易、成品油贸易数据</w:t>
      </w:r>
    </w:p>
    <w:p w14:paraId="60766413" w14:textId="77777777" w:rsidR="00CE5C61" w:rsidRDefault="005A6933">
      <w:pPr>
        <w:pStyle w:val="aa"/>
        <w:numPr>
          <w:ilvl w:val="0"/>
          <w:numId w:val="1"/>
        </w:numPr>
        <w:ind w:firstLineChars="0"/>
      </w:pPr>
      <w:r>
        <w:rPr>
          <w:rFonts w:hint="eastAsia"/>
        </w:rPr>
        <w:t>航运与船队数据，全球油轮船队构成与货流数据</w:t>
      </w:r>
    </w:p>
    <w:p w14:paraId="397BA140" w14:textId="77777777" w:rsidR="00CE5C61" w:rsidRDefault="005A6933">
      <w:pPr>
        <w:pStyle w:val="aa"/>
        <w:numPr>
          <w:ilvl w:val="0"/>
          <w:numId w:val="1"/>
        </w:numPr>
        <w:ind w:firstLineChars="0"/>
      </w:pPr>
      <w:r>
        <w:rPr>
          <w:rFonts w:hint="eastAsia"/>
        </w:rPr>
        <w:t>油运市场上中、欧航线相关分航线、分船型的价格指数或价格</w:t>
      </w:r>
    </w:p>
    <w:p w14:paraId="577CE12E" w14:textId="77777777" w:rsidR="00CE5C61" w:rsidRDefault="005A6933">
      <w:r>
        <w:rPr>
          <w:rFonts w:hint="eastAsia"/>
        </w:rPr>
        <w:lastRenderedPageBreak/>
        <w:t>4</w:t>
      </w:r>
      <w:r>
        <w:rPr>
          <w:rFonts w:hint="eastAsia"/>
        </w:rPr>
        <w:t>、</w:t>
      </w:r>
      <w:r>
        <w:rPr>
          <w:rFonts w:hint="eastAsia"/>
        </w:rPr>
        <w:t>MR</w:t>
      </w:r>
      <w:r>
        <w:rPr>
          <w:rFonts w:hint="eastAsia"/>
        </w:rPr>
        <w:t>型成品油轮、阿芙拉型成品油轮、</w:t>
      </w:r>
      <w:r>
        <w:rPr>
          <w:rFonts w:hint="eastAsia"/>
        </w:rPr>
        <w:t>VLCC</w:t>
      </w:r>
      <w:r>
        <w:rPr>
          <w:rFonts w:hint="eastAsia"/>
        </w:rPr>
        <w:t>油轮，</w:t>
      </w:r>
      <w:r>
        <w:rPr>
          <w:rFonts w:hint="eastAsia"/>
        </w:rPr>
        <w:t>2020</w:t>
      </w:r>
      <w:r>
        <w:rPr>
          <w:rFonts w:hint="eastAsia"/>
        </w:rPr>
        <w:t>年</w:t>
      </w:r>
      <w:r>
        <w:rPr>
          <w:rFonts w:hint="eastAsia"/>
        </w:rPr>
        <w:t>-2024</w:t>
      </w:r>
      <w:r>
        <w:rPr>
          <w:rFonts w:hint="eastAsia"/>
        </w:rPr>
        <w:t>年，每年</w:t>
      </w:r>
      <w:r>
        <w:rPr>
          <w:rFonts w:hint="eastAsia"/>
        </w:rPr>
        <w:t>1-3</w:t>
      </w:r>
      <w:r>
        <w:rPr>
          <w:rFonts w:hint="eastAsia"/>
        </w:rPr>
        <w:t>月的船舶轨迹数据</w:t>
      </w:r>
    </w:p>
    <w:p w14:paraId="78432864" w14:textId="77777777" w:rsidR="00CE5C61" w:rsidRDefault="005A6933">
      <w:r>
        <w:rPr>
          <w:rFonts w:hint="eastAsia"/>
        </w:rPr>
        <w:t>5</w:t>
      </w:r>
      <w:r>
        <w:rPr>
          <w:rFonts w:hint="eastAsia"/>
        </w:rPr>
        <w:t>、主要油轮船型的市场价格</w:t>
      </w:r>
    </w:p>
    <w:p w14:paraId="652E7D46" w14:textId="77777777" w:rsidR="00CE5C61" w:rsidRDefault="005A6933">
      <w:r>
        <w:rPr>
          <w:rFonts w:hint="eastAsia"/>
        </w:rPr>
        <w:t>以下数据，希望参赛选手自行搜集：</w:t>
      </w:r>
    </w:p>
    <w:p w14:paraId="12532426" w14:textId="77777777" w:rsidR="00CE5C61" w:rsidRDefault="005A6933">
      <w:r>
        <w:rPr>
          <w:rFonts w:hint="eastAsia"/>
        </w:rPr>
        <w:t>6</w:t>
      </w:r>
      <w:r>
        <w:rPr>
          <w:rFonts w:hint="eastAsia"/>
        </w:rPr>
        <w:t>、产能布局数据：欧洲炼厂关闭计划与时间表、中国产能投产计划等</w:t>
      </w:r>
    </w:p>
    <w:p w14:paraId="221ABBE0" w14:textId="77777777" w:rsidR="00CE5C61" w:rsidRDefault="005A6933">
      <w:pPr>
        <w:pStyle w:val="2"/>
        <w:rPr>
          <w:rFonts w:eastAsiaTheme="minorEastAsia"/>
        </w:rPr>
      </w:pPr>
      <w:r>
        <w:t>评分标准（满分</w:t>
      </w:r>
      <w:r>
        <w:t>100</w:t>
      </w:r>
      <w:r>
        <w:t>分）</w:t>
      </w:r>
    </w:p>
    <w:tbl>
      <w:tblPr>
        <w:tblStyle w:val="a8"/>
        <w:tblW w:w="0" w:type="auto"/>
        <w:tblLook w:val="04A0" w:firstRow="1" w:lastRow="0" w:firstColumn="1" w:lastColumn="0" w:noHBand="0" w:noVBand="1"/>
      </w:tblPr>
      <w:tblGrid>
        <w:gridCol w:w="2130"/>
        <w:gridCol w:w="2130"/>
        <w:gridCol w:w="2131"/>
        <w:gridCol w:w="2131"/>
      </w:tblGrid>
      <w:tr w:rsidR="00CE5C61" w14:paraId="5EC09286" w14:textId="77777777">
        <w:tc>
          <w:tcPr>
            <w:tcW w:w="21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tblGrid>
            <w:tr w:rsidR="00CE5C61" w14:paraId="78D33A85" w14:textId="77777777">
              <w:trPr>
                <w:tblCellSpacing w:w="15" w:type="dxa"/>
              </w:trPr>
              <w:tc>
                <w:tcPr>
                  <w:tcW w:w="0" w:type="auto"/>
                  <w:vAlign w:val="center"/>
                </w:tcPr>
                <w:p w14:paraId="5E72E54A" w14:textId="77777777" w:rsidR="00CE5C61" w:rsidRDefault="005A6933">
                  <w:pPr>
                    <w:widowControl/>
                    <w:jc w:val="center"/>
                    <w:rPr>
                      <w:b/>
                      <w:bCs/>
                      <w:kern w:val="0"/>
                      <w:sz w:val="24"/>
                    </w:rPr>
                  </w:pPr>
                  <w:r>
                    <w:rPr>
                      <w:b/>
                      <w:bCs/>
                    </w:rPr>
                    <w:t>评分维度</w:t>
                  </w:r>
                </w:p>
              </w:tc>
            </w:tr>
          </w:tbl>
          <w:p w14:paraId="20EEA605" w14:textId="77777777" w:rsidR="00CE5C61" w:rsidRDefault="00CE5C61">
            <w:pPr>
              <w:rPr>
                <w:rFonts w:asciiTheme="minorEastAsia" w:hAnsiTheme="minorEastAsia"/>
                <w:sz w:val="24"/>
              </w:rPr>
            </w:pPr>
          </w:p>
        </w:tc>
        <w:tc>
          <w:tcPr>
            <w:tcW w:w="21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
            </w:tblGrid>
            <w:tr w:rsidR="00CE5C61" w14:paraId="6E918602" w14:textId="77777777">
              <w:trPr>
                <w:tblCellSpacing w:w="15" w:type="dxa"/>
              </w:trPr>
              <w:tc>
                <w:tcPr>
                  <w:tcW w:w="0" w:type="auto"/>
                  <w:vAlign w:val="center"/>
                </w:tcPr>
                <w:p w14:paraId="5A78FD12" w14:textId="77777777" w:rsidR="00CE5C61" w:rsidRDefault="005A6933">
                  <w:pPr>
                    <w:widowControl/>
                    <w:jc w:val="center"/>
                    <w:rPr>
                      <w:b/>
                      <w:bCs/>
                      <w:kern w:val="0"/>
                      <w:sz w:val="24"/>
                    </w:rPr>
                  </w:pPr>
                  <w:r>
                    <w:rPr>
                      <w:rFonts w:hint="eastAsia"/>
                      <w:b/>
                      <w:bCs/>
                    </w:rPr>
                    <w:t>分值</w:t>
                  </w:r>
                </w:p>
              </w:tc>
            </w:tr>
          </w:tbl>
          <w:p w14:paraId="7E63C765" w14:textId="77777777" w:rsidR="00CE5C61" w:rsidRDefault="00CE5C61">
            <w:pPr>
              <w:rPr>
                <w:rFonts w:asciiTheme="minorEastAsia" w:hAnsiTheme="minorEastAsia"/>
                <w:sz w:val="24"/>
              </w:rPr>
            </w:pPr>
          </w:p>
        </w:tc>
        <w:tc>
          <w:tcPr>
            <w:tcW w:w="2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tblGrid>
            <w:tr w:rsidR="00CE5C61" w14:paraId="232126C3" w14:textId="77777777">
              <w:trPr>
                <w:tblCellSpacing w:w="15" w:type="dxa"/>
              </w:trPr>
              <w:tc>
                <w:tcPr>
                  <w:tcW w:w="0" w:type="auto"/>
                  <w:vAlign w:val="center"/>
                </w:tcPr>
                <w:p w14:paraId="5FCEFF33" w14:textId="77777777" w:rsidR="00CE5C61" w:rsidRDefault="005A6933">
                  <w:pPr>
                    <w:widowControl/>
                    <w:jc w:val="center"/>
                    <w:rPr>
                      <w:b/>
                      <w:bCs/>
                      <w:kern w:val="0"/>
                      <w:sz w:val="24"/>
                    </w:rPr>
                  </w:pPr>
                  <w:r>
                    <w:rPr>
                      <w:rFonts w:hint="eastAsia"/>
                      <w:b/>
                      <w:bCs/>
                    </w:rPr>
                    <w:t>评分说明</w:t>
                  </w:r>
                </w:p>
              </w:tc>
            </w:tr>
          </w:tbl>
          <w:p w14:paraId="54E57160" w14:textId="77777777" w:rsidR="00CE5C61" w:rsidRDefault="00CE5C61">
            <w:pPr>
              <w:rPr>
                <w:rFonts w:asciiTheme="minorEastAsia" w:hAnsiTheme="minorEastAsia"/>
                <w:sz w:val="24"/>
              </w:rPr>
            </w:pPr>
          </w:p>
        </w:tc>
        <w:tc>
          <w:tcPr>
            <w:tcW w:w="2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tblGrid>
            <w:tr w:rsidR="00CE5C61" w14:paraId="1F69EDCF" w14:textId="77777777">
              <w:trPr>
                <w:tblCellSpacing w:w="15" w:type="dxa"/>
              </w:trPr>
              <w:tc>
                <w:tcPr>
                  <w:tcW w:w="0" w:type="auto"/>
                  <w:vAlign w:val="center"/>
                </w:tcPr>
                <w:p w14:paraId="49D8DB82" w14:textId="77777777" w:rsidR="00CE5C61" w:rsidRDefault="005A6933">
                  <w:pPr>
                    <w:widowControl/>
                    <w:jc w:val="center"/>
                    <w:rPr>
                      <w:b/>
                      <w:bCs/>
                      <w:kern w:val="0"/>
                      <w:sz w:val="24"/>
                    </w:rPr>
                  </w:pPr>
                  <w:r>
                    <w:rPr>
                      <w:rFonts w:hint="eastAsia"/>
                      <w:b/>
                      <w:bCs/>
                    </w:rPr>
                    <w:t>参考标准</w:t>
                  </w:r>
                </w:p>
              </w:tc>
            </w:tr>
          </w:tbl>
          <w:p w14:paraId="013B65E4" w14:textId="77777777" w:rsidR="00CE5C61" w:rsidRDefault="00CE5C61">
            <w:pPr>
              <w:rPr>
                <w:rFonts w:asciiTheme="minorEastAsia" w:hAnsiTheme="minorEastAsia"/>
                <w:sz w:val="24"/>
              </w:rPr>
            </w:pPr>
          </w:p>
        </w:tc>
      </w:tr>
      <w:tr w:rsidR="00CE5C61" w14:paraId="55AB144A" w14:textId="77777777">
        <w:tc>
          <w:tcPr>
            <w:tcW w:w="2130" w:type="dxa"/>
          </w:tcPr>
          <w:p w14:paraId="1CC20F73" w14:textId="77777777" w:rsidR="00CE5C61" w:rsidRDefault="005A6933">
            <w:pPr>
              <w:rPr>
                <w:rFonts w:asciiTheme="minorEastAsia" w:hAnsiTheme="minorEastAsia"/>
                <w:sz w:val="24"/>
              </w:rPr>
            </w:pPr>
            <w:r>
              <w:rPr>
                <w:rFonts w:asciiTheme="minorEastAsia" w:hAnsiTheme="minorEastAsia" w:hint="eastAsia"/>
                <w:sz w:val="24"/>
              </w:rPr>
              <w:t>分析逻辑与结构</w:t>
            </w:r>
          </w:p>
        </w:tc>
        <w:tc>
          <w:tcPr>
            <w:tcW w:w="2130" w:type="dxa"/>
          </w:tcPr>
          <w:p w14:paraId="5BD77BE1" w14:textId="77777777" w:rsidR="00CE5C61" w:rsidRDefault="005A6933">
            <w:pPr>
              <w:rPr>
                <w:rFonts w:asciiTheme="minorEastAsia" w:hAnsiTheme="minorEastAsia"/>
                <w:sz w:val="24"/>
              </w:rPr>
            </w:pPr>
            <w:r>
              <w:rPr>
                <w:rFonts w:asciiTheme="minorEastAsia" w:hAnsiTheme="minorEastAsia" w:hint="eastAsia"/>
                <w:sz w:val="24"/>
              </w:rPr>
              <w:t>30</w:t>
            </w:r>
          </w:p>
        </w:tc>
        <w:tc>
          <w:tcPr>
            <w:tcW w:w="2131" w:type="dxa"/>
          </w:tcPr>
          <w:p w14:paraId="74B83D0E" w14:textId="77777777" w:rsidR="00CE5C61" w:rsidRDefault="005A6933">
            <w:pPr>
              <w:jc w:val="left"/>
              <w:rPr>
                <w:rFonts w:asciiTheme="minorEastAsia" w:hAnsiTheme="minorEastAsia"/>
                <w:sz w:val="24"/>
              </w:rPr>
            </w:pPr>
            <w:r>
              <w:rPr>
                <w:rFonts w:asciiTheme="minorEastAsia" w:hAnsiTheme="minorEastAsia"/>
                <w:sz w:val="24"/>
              </w:rPr>
              <w:t>思路清晰、层次分明，分析步骤合理</w:t>
            </w:r>
            <w:r>
              <w:rPr>
                <w:rFonts w:asciiTheme="minorEastAsia" w:hAnsiTheme="minorEastAsia" w:hint="eastAsia"/>
                <w:sz w:val="24"/>
              </w:rPr>
              <w:t>的程度</w:t>
            </w:r>
          </w:p>
        </w:tc>
        <w:tc>
          <w:tcPr>
            <w:tcW w:w="2131" w:type="dxa"/>
          </w:tcPr>
          <w:p w14:paraId="2F223C7B" w14:textId="77777777" w:rsidR="00CE5C61" w:rsidRDefault="005A6933">
            <w:pPr>
              <w:jc w:val="left"/>
              <w:rPr>
                <w:rFonts w:asciiTheme="minorEastAsia" w:hAnsiTheme="minorEastAsia"/>
                <w:sz w:val="24"/>
              </w:rPr>
            </w:pPr>
            <w:r>
              <w:rPr>
                <w:rFonts w:asciiTheme="minorEastAsia" w:hAnsiTheme="minorEastAsia" w:hint="eastAsia"/>
                <w:sz w:val="24"/>
              </w:rPr>
              <w:t>20-3</w:t>
            </w:r>
            <w:r>
              <w:rPr>
                <w:rFonts w:asciiTheme="minorEastAsia" w:hAnsiTheme="minorEastAsia"/>
                <w:sz w:val="24"/>
              </w:rPr>
              <w:t>0</w:t>
            </w:r>
            <w:r>
              <w:rPr>
                <w:rFonts w:asciiTheme="minorEastAsia" w:hAnsiTheme="minorEastAsia"/>
                <w:sz w:val="24"/>
              </w:rPr>
              <w:t>分：逻辑完整、有系统框架</w:t>
            </w:r>
          </w:p>
          <w:p w14:paraId="259FC92E" w14:textId="77777777" w:rsidR="00CE5C61" w:rsidRDefault="005A6933">
            <w:pPr>
              <w:jc w:val="left"/>
              <w:rPr>
                <w:rFonts w:asciiTheme="minorEastAsia" w:hAnsiTheme="minorEastAsia"/>
                <w:sz w:val="24"/>
              </w:rPr>
            </w:pPr>
            <w:r>
              <w:rPr>
                <w:rFonts w:asciiTheme="minorEastAsia" w:hAnsiTheme="minorEastAsia"/>
                <w:sz w:val="24"/>
              </w:rPr>
              <w:t>1</w:t>
            </w:r>
            <w:r>
              <w:rPr>
                <w:rFonts w:asciiTheme="minorEastAsia" w:hAnsiTheme="minorEastAsia" w:hint="eastAsia"/>
                <w:sz w:val="24"/>
              </w:rPr>
              <w:t>0-20</w:t>
            </w:r>
            <w:r>
              <w:rPr>
                <w:rFonts w:asciiTheme="minorEastAsia" w:hAnsiTheme="minorEastAsia"/>
                <w:sz w:val="24"/>
              </w:rPr>
              <w:t>分：思路基本合理但</w:t>
            </w:r>
            <w:r>
              <w:rPr>
                <w:rFonts w:asciiTheme="minorEastAsia" w:hAnsiTheme="minorEastAsia" w:hint="eastAsia"/>
                <w:sz w:val="24"/>
              </w:rPr>
              <w:t>逻辑上比较</w:t>
            </w:r>
            <w:r>
              <w:rPr>
                <w:rFonts w:asciiTheme="minorEastAsia" w:hAnsiTheme="minorEastAsia"/>
                <w:sz w:val="24"/>
              </w:rPr>
              <w:t>松散</w:t>
            </w:r>
          </w:p>
          <w:p w14:paraId="5B0B2584" w14:textId="77777777" w:rsidR="00CE5C61" w:rsidRDefault="005A6933">
            <w:pPr>
              <w:jc w:val="left"/>
              <w:rPr>
                <w:rFonts w:asciiTheme="minorEastAsia" w:hAnsiTheme="minorEastAsia"/>
                <w:sz w:val="24"/>
              </w:rPr>
            </w:pPr>
            <w:r>
              <w:rPr>
                <w:rFonts w:asciiTheme="minorEastAsia" w:hAnsiTheme="minorEastAsia" w:hint="eastAsia"/>
                <w:sz w:val="24"/>
              </w:rPr>
              <w:t>0-10</w:t>
            </w:r>
            <w:r>
              <w:rPr>
                <w:rFonts w:asciiTheme="minorEastAsia" w:hAnsiTheme="minorEastAsia"/>
                <w:sz w:val="24"/>
              </w:rPr>
              <w:t>分：分析结构混乱</w:t>
            </w:r>
            <w:r>
              <w:rPr>
                <w:rFonts w:asciiTheme="minorEastAsia" w:hAnsiTheme="minorEastAsia" w:hint="eastAsia"/>
                <w:sz w:val="24"/>
              </w:rPr>
              <w:t>或无分析框架，存在明显逻辑漏洞</w:t>
            </w:r>
            <w:r>
              <w:rPr>
                <w:rFonts w:asciiTheme="minorEastAsia" w:hAnsiTheme="minorEastAsia"/>
                <w:sz w:val="24"/>
              </w:rPr>
              <w:t xml:space="preserve"> </w:t>
            </w:r>
          </w:p>
        </w:tc>
      </w:tr>
      <w:tr w:rsidR="00CE5C61" w14:paraId="4780A924" w14:textId="77777777">
        <w:tc>
          <w:tcPr>
            <w:tcW w:w="2130" w:type="dxa"/>
          </w:tcPr>
          <w:p w14:paraId="1F3644D5" w14:textId="77777777" w:rsidR="00CE5C61" w:rsidRDefault="005A6933">
            <w:pPr>
              <w:rPr>
                <w:rFonts w:asciiTheme="minorEastAsia" w:hAnsiTheme="minorEastAsia"/>
                <w:sz w:val="24"/>
              </w:rPr>
            </w:pPr>
            <w:r>
              <w:rPr>
                <w:rFonts w:asciiTheme="minorEastAsia" w:hAnsiTheme="minorEastAsia"/>
                <w:sz w:val="24"/>
              </w:rPr>
              <w:t>数据与模型使用</w:t>
            </w:r>
          </w:p>
        </w:tc>
        <w:tc>
          <w:tcPr>
            <w:tcW w:w="2130" w:type="dxa"/>
          </w:tcPr>
          <w:p w14:paraId="7FFB7312" w14:textId="77777777" w:rsidR="00CE5C61" w:rsidRDefault="005A6933">
            <w:pPr>
              <w:rPr>
                <w:rFonts w:asciiTheme="minorEastAsia" w:hAnsiTheme="minorEastAsia"/>
                <w:sz w:val="24"/>
              </w:rPr>
            </w:pPr>
            <w:r>
              <w:rPr>
                <w:rFonts w:asciiTheme="minorEastAsia" w:hAnsiTheme="minorEastAsia" w:hint="eastAsia"/>
                <w:sz w:val="24"/>
              </w:rPr>
              <w:t>30</w:t>
            </w:r>
          </w:p>
        </w:tc>
        <w:tc>
          <w:tcPr>
            <w:tcW w:w="2131" w:type="dxa"/>
          </w:tcPr>
          <w:p w14:paraId="6C7A759E" w14:textId="77777777" w:rsidR="00CE5C61" w:rsidRDefault="005A6933">
            <w:pPr>
              <w:jc w:val="left"/>
              <w:rPr>
                <w:rFonts w:asciiTheme="minorEastAsia" w:hAnsiTheme="minorEastAsia"/>
                <w:sz w:val="24"/>
              </w:rPr>
            </w:pPr>
            <w:r>
              <w:rPr>
                <w:rFonts w:asciiTheme="minorEastAsia" w:hAnsiTheme="minorEastAsia" w:hint="eastAsia"/>
                <w:sz w:val="24"/>
              </w:rPr>
              <w:t>有效使用组委会数据或外部公开数据的程度，如合理使用了自行搜集的外部数据，可在适量加分</w:t>
            </w:r>
          </w:p>
        </w:tc>
        <w:tc>
          <w:tcPr>
            <w:tcW w:w="2131" w:type="dxa"/>
          </w:tcPr>
          <w:p w14:paraId="33874AA5" w14:textId="77777777" w:rsidR="00CE5C61" w:rsidRDefault="005A6933">
            <w:pPr>
              <w:jc w:val="left"/>
              <w:rPr>
                <w:rFonts w:asciiTheme="minorEastAsia" w:hAnsiTheme="minorEastAsia"/>
                <w:sz w:val="24"/>
              </w:rPr>
            </w:pPr>
            <w:r>
              <w:rPr>
                <w:rFonts w:asciiTheme="minorEastAsia" w:hAnsiTheme="minorEastAsia" w:hint="eastAsia"/>
                <w:sz w:val="24"/>
              </w:rPr>
              <w:t>20-3</w:t>
            </w:r>
            <w:r>
              <w:rPr>
                <w:rFonts w:asciiTheme="minorEastAsia" w:hAnsiTheme="minorEastAsia"/>
                <w:sz w:val="24"/>
              </w:rPr>
              <w:t>0</w:t>
            </w:r>
            <w:r>
              <w:rPr>
                <w:rFonts w:asciiTheme="minorEastAsia" w:hAnsiTheme="minorEastAsia"/>
                <w:sz w:val="24"/>
              </w:rPr>
              <w:t>分：</w:t>
            </w:r>
            <w:r>
              <w:rPr>
                <w:rFonts w:asciiTheme="minorEastAsia" w:hAnsiTheme="minorEastAsia" w:hint="eastAsia"/>
                <w:sz w:val="24"/>
              </w:rPr>
              <w:t>存在合理的</w:t>
            </w:r>
            <w:r>
              <w:rPr>
                <w:rFonts w:asciiTheme="minorEastAsia" w:hAnsiTheme="minorEastAsia"/>
                <w:sz w:val="24"/>
              </w:rPr>
              <w:t>量化模型或估算方法</w:t>
            </w:r>
          </w:p>
          <w:p w14:paraId="6595DC4B" w14:textId="77777777" w:rsidR="00CE5C61" w:rsidRDefault="005A6933">
            <w:pPr>
              <w:jc w:val="left"/>
              <w:rPr>
                <w:rFonts w:asciiTheme="minorEastAsia" w:hAnsiTheme="minorEastAsia"/>
                <w:sz w:val="24"/>
              </w:rPr>
            </w:pPr>
            <w:r>
              <w:rPr>
                <w:rFonts w:asciiTheme="minorEastAsia" w:hAnsiTheme="minorEastAsia"/>
                <w:sz w:val="24"/>
              </w:rPr>
              <w:t>1</w:t>
            </w:r>
            <w:r>
              <w:rPr>
                <w:rFonts w:asciiTheme="minorEastAsia" w:hAnsiTheme="minorEastAsia" w:hint="eastAsia"/>
                <w:sz w:val="24"/>
              </w:rPr>
              <w:t>0-20</w:t>
            </w:r>
            <w:r>
              <w:rPr>
                <w:rFonts w:asciiTheme="minorEastAsia" w:hAnsiTheme="minorEastAsia"/>
                <w:sz w:val="24"/>
              </w:rPr>
              <w:t>分：有数据支撑但分析</w:t>
            </w:r>
            <w:r>
              <w:rPr>
                <w:rFonts w:asciiTheme="minorEastAsia" w:hAnsiTheme="minorEastAsia" w:hint="eastAsia"/>
                <w:sz w:val="24"/>
              </w:rPr>
              <w:t>过程</w:t>
            </w:r>
            <w:r>
              <w:rPr>
                <w:rFonts w:asciiTheme="minorEastAsia" w:hAnsiTheme="minorEastAsia"/>
                <w:sz w:val="24"/>
              </w:rPr>
              <w:t>粗略</w:t>
            </w:r>
          </w:p>
          <w:p w14:paraId="30FF26CF" w14:textId="77777777" w:rsidR="00CE5C61" w:rsidRDefault="005A6933">
            <w:pPr>
              <w:jc w:val="left"/>
              <w:rPr>
                <w:rFonts w:asciiTheme="minorEastAsia" w:hAnsiTheme="minorEastAsia"/>
                <w:sz w:val="24"/>
              </w:rPr>
            </w:pPr>
            <w:r>
              <w:rPr>
                <w:rFonts w:asciiTheme="minorEastAsia" w:hAnsiTheme="minorEastAsia" w:hint="eastAsia"/>
                <w:sz w:val="24"/>
              </w:rPr>
              <w:t>0-10</w:t>
            </w:r>
            <w:r>
              <w:rPr>
                <w:rFonts w:asciiTheme="minorEastAsia" w:hAnsiTheme="minorEastAsia"/>
                <w:sz w:val="24"/>
              </w:rPr>
              <w:t>分以下：以主观判断为主</w:t>
            </w:r>
          </w:p>
        </w:tc>
      </w:tr>
      <w:tr w:rsidR="00CE5C61" w14:paraId="0095E822" w14:textId="77777777">
        <w:tc>
          <w:tcPr>
            <w:tcW w:w="2130" w:type="dxa"/>
          </w:tcPr>
          <w:p w14:paraId="2DE5B108" w14:textId="77777777" w:rsidR="00CE5C61" w:rsidRDefault="005A6933">
            <w:pPr>
              <w:rPr>
                <w:rFonts w:asciiTheme="minorEastAsia" w:hAnsiTheme="minorEastAsia"/>
                <w:sz w:val="24"/>
              </w:rPr>
            </w:pPr>
            <w:r>
              <w:rPr>
                <w:rFonts w:asciiTheme="minorEastAsia" w:hAnsiTheme="minorEastAsia"/>
                <w:sz w:val="24"/>
              </w:rPr>
              <w:t>分析结论</w:t>
            </w:r>
          </w:p>
        </w:tc>
        <w:tc>
          <w:tcPr>
            <w:tcW w:w="2130" w:type="dxa"/>
          </w:tcPr>
          <w:p w14:paraId="5FC54969" w14:textId="77777777" w:rsidR="00CE5C61" w:rsidRDefault="005A6933">
            <w:pPr>
              <w:rPr>
                <w:rFonts w:asciiTheme="minorEastAsia" w:hAnsiTheme="minorEastAsia"/>
                <w:sz w:val="24"/>
              </w:rPr>
            </w:pPr>
            <w:r>
              <w:rPr>
                <w:rFonts w:asciiTheme="minorEastAsia" w:hAnsiTheme="minorEastAsia" w:hint="eastAsia"/>
                <w:sz w:val="24"/>
              </w:rPr>
              <w:t>20</w:t>
            </w:r>
          </w:p>
        </w:tc>
        <w:tc>
          <w:tcPr>
            <w:tcW w:w="2131" w:type="dxa"/>
          </w:tcPr>
          <w:p w14:paraId="2E9E2241" w14:textId="77777777" w:rsidR="00CE5C61" w:rsidRDefault="005A6933">
            <w:pPr>
              <w:jc w:val="left"/>
              <w:rPr>
                <w:rFonts w:asciiTheme="minorEastAsia" w:hAnsiTheme="minorEastAsia"/>
                <w:sz w:val="24"/>
              </w:rPr>
            </w:pPr>
            <w:r>
              <w:rPr>
                <w:rFonts w:asciiTheme="minorEastAsia" w:hAnsiTheme="minorEastAsia"/>
                <w:sz w:val="24"/>
              </w:rPr>
              <w:t>能</w:t>
            </w:r>
            <w:r>
              <w:rPr>
                <w:rFonts w:asciiTheme="minorEastAsia" w:hAnsiTheme="minorEastAsia" w:hint="eastAsia"/>
                <w:sz w:val="24"/>
              </w:rPr>
              <w:t>根据数据与建模得到结论的能力</w:t>
            </w:r>
          </w:p>
        </w:tc>
        <w:tc>
          <w:tcPr>
            <w:tcW w:w="2131" w:type="dxa"/>
          </w:tcPr>
          <w:p w14:paraId="7D409C51" w14:textId="77777777" w:rsidR="00CE5C61" w:rsidRDefault="005A6933">
            <w:pPr>
              <w:jc w:val="left"/>
              <w:rPr>
                <w:rFonts w:asciiTheme="minorEastAsia" w:hAnsiTheme="minorEastAsia"/>
                <w:sz w:val="24"/>
              </w:rPr>
            </w:pPr>
            <w:r>
              <w:rPr>
                <w:rFonts w:asciiTheme="minorEastAsia" w:hAnsiTheme="minorEastAsia" w:hint="eastAsia"/>
                <w:sz w:val="24"/>
              </w:rPr>
              <w:t>10-20</w:t>
            </w:r>
            <w:r>
              <w:rPr>
                <w:rFonts w:asciiTheme="minorEastAsia" w:hAnsiTheme="minorEastAsia"/>
                <w:sz w:val="24"/>
              </w:rPr>
              <w:t>分：</w:t>
            </w:r>
            <w:r>
              <w:rPr>
                <w:rFonts w:asciiTheme="minorEastAsia" w:hAnsiTheme="minorEastAsia" w:hint="eastAsia"/>
                <w:sz w:val="24"/>
              </w:rPr>
              <w:t>有明确结论，并能给出相应建议，且具备一定</w:t>
            </w:r>
            <w:r>
              <w:rPr>
                <w:rFonts w:asciiTheme="minorEastAsia" w:hAnsiTheme="minorEastAsia"/>
                <w:sz w:val="24"/>
              </w:rPr>
              <w:t>可操作</w:t>
            </w:r>
            <w:r>
              <w:rPr>
                <w:rFonts w:asciiTheme="minorEastAsia" w:hAnsiTheme="minorEastAsia" w:hint="eastAsia"/>
                <w:sz w:val="24"/>
              </w:rPr>
              <w:t>性</w:t>
            </w:r>
          </w:p>
          <w:p w14:paraId="4C13BC9F" w14:textId="77777777" w:rsidR="00CE5C61" w:rsidRDefault="005A6933">
            <w:pPr>
              <w:jc w:val="left"/>
              <w:rPr>
                <w:rFonts w:asciiTheme="minorEastAsia" w:hAnsiTheme="minorEastAsia"/>
                <w:sz w:val="24"/>
              </w:rPr>
            </w:pPr>
            <w:r>
              <w:rPr>
                <w:rFonts w:asciiTheme="minorEastAsia" w:hAnsiTheme="minorEastAsia" w:hint="eastAsia"/>
                <w:sz w:val="24"/>
              </w:rPr>
              <w:t>5-</w:t>
            </w:r>
            <w:r>
              <w:rPr>
                <w:rFonts w:asciiTheme="minorEastAsia" w:hAnsiTheme="minorEastAsia"/>
                <w:sz w:val="24"/>
              </w:rPr>
              <w:t>10</w:t>
            </w:r>
            <w:r>
              <w:rPr>
                <w:rFonts w:asciiTheme="minorEastAsia" w:hAnsiTheme="minorEastAsia"/>
                <w:sz w:val="24"/>
              </w:rPr>
              <w:t>分：</w:t>
            </w:r>
            <w:r>
              <w:rPr>
                <w:rFonts w:asciiTheme="minorEastAsia" w:hAnsiTheme="minorEastAsia" w:hint="eastAsia"/>
                <w:sz w:val="24"/>
              </w:rPr>
              <w:t>存在结论</w:t>
            </w:r>
            <w:r>
              <w:rPr>
                <w:rFonts w:asciiTheme="minorEastAsia" w:hAnsiTheme="minorEastAsia"/>
                <w:sz w:val="24"/>
              </w:rPr>
              <w:t>但</w:t>
            </w:r>
            <w:r>
              <w:rPr>
                <w:rFonts w:asciiTheme="minorEastAsia" w:hAnsiTheme="minorEastAsia" w:hint="eastAsia"/>
                <w:sz w:val="24"/>
              </w:rPr>
              <w:t>较为</w:t>
            </w:r>
            <w:r>
              <w:rPr>
                <w:rFonts w:asciiTheme="minorEastAsia" w:hAnsiTheme="minorEastAsia"/>
                <w:sz w:val="24"/>
              </w:rPr>
              <w:t>笼统</w:t>
            </w:r>
          </w:p>
          <w:p w14:paraId="0394DAAE" w14:textId="77777777" w:rsidR="00CE5C61" w:rsidRDefault="005A6933">
            <w:pPr>
              <w:jc w:val="left"/>
              <w:rPr>
                <w:rFonts w:asciiTheme="minorEastAsia" w:hAnsiTheme="minorEastAsia"/>
                <w:sz w:val="24"/>
              </w:rPr>
            </w:pPr>
            <w:r>
              <w:rPr>
                <w:rFonts w:asciiTheme="minorEastAsia" w:hAnsiTheme="minorEastAsia" w:hint="eastAsia"/>
                <w:sz w:val="24"/>
              </w:rPr>
              <w:t>0-</w:t>
            </w:r>
            <w:r>
              <w:rPr>
                <w:rFonts w:asciiTheme="minorEastAsia" w:hAnsiTheme="minorEastAsia"/>
                <w:sz w:val="24"/>
              </w:rPr>
              <w:t>5</w:t>
            </w:r>
            <w:r>
              <w:rPr>
                <w:rFonts w:asciiTheme="minorEastAsia" w:hAnsiTheme="minorEastAsia"/>
                <w:sz w:val="24"/>
              </w:rPr>
              <w:t>分：无明确</w:t>
            </w:r>
            <w:r>
              <w:rPr>
                <w:rFonts w:asciiTheme="minorEastAsia" w:hAnsiTheme="minorEastAsia" w:hint="eastAsia"/>
                <w:sz w:val="24"/>
              </w:rPr>
              <w:t>结论或结论与分析过程存在矛盾</w:t>
            </w:r>
          </w:p>
        </w:tc>
      </w:tr>
      <w:tr w:rsidR="00CE5C61" w14:paraId="61669BC5" w14:textId="77777777">
        <w:tc>
          <w:tcPr>
            <w:tcW w:w="2130" w:type="dxa"/>
          </w:tcPr>
          <w:p w14:paraId="11F70632" w14:textId="77777777" w:rsidR="00CE5C61" w:rsidRDefault="005A6933">
            <w:pPr>
              <w:rPr>
                <w:rFonts w:asciiTheme="minorEastAsia" w:hAnsiTheme="minorEastAsia"/>
                <w:sz w:val="24"/>
              </w:rPr>
            </w:pPr>
            <w:r>
              <w:rPr>
                <w:rFonts w:asciiTheme="minorEastAsia" w:hAnsiTheme="minorEastAsia" w:hint="eastAsia"/>
                <w:sz w:val="24"/>
              </w:rPr>
              <w:t>表达与呈现质量</w:t>
            </w:r>
          </w:p>
        </w:tc>
        <w:tc>
          <w:tcPr>
            <w:tcW w:w="2130" w:type="dxa"/>
          </w:tcPr>
          <w:p w14:paraId="4CB5553A" w14:textId="77777777" w:rsidR="00CE5C61" w:rsidRDefault="005A6933">
            <w:pPr>
              <w:rPr>
                <w:rFonts w:asciiTheme="minorEastAsia" w:hAnsiTheme="minorEastAsia"/>
                <w:sz w:val="24"/>
              </w:rPr>
            </w:pPr>
            <w:r>
              <w:rPr>
                <w:rFonts w:asciiTheme="minorEastAsia" w:hAnsiTheme="minorEastAsia" w:hint="eastAsia"/>
                <w:sz w:val="24"/>
              </w:rPr>
              <w:t>20</w:t>
            </w:r>
          </w:p>
        </w:tc>
        <w:tc>
          <w:tcPr>
            <w:tcW w:w="2131" w:type="dxa"/>
          </w:tcPr>
          <w:p w14:paraId="639365BA" w14:textId="77777777" w:rsidR="00CE5C61" w:rsidRDefault="005A6933">
            <w:pPr>
              <w:jc w:val="left"/>
              <w:rPr>
                <w:rFonts w:asciiTheme="minorEastAsia" w:hAnsiTheme="minorEastAsia"/>
                <w:sz w:val="24"/>
              </w:rPr>
            </w:pPr>
            <w:r>
              <w:rPr>
                <w:rFonts w:asciiTheme="minorEastAsia" w:hAnsiTheme="minorEastAsia"/>
                <w:sz w:val="24"/>
              </w:rPr>
              <w:t>汇报结构、图表表现力与语言逻辑</w:t>
            </w:r>
          </w:p>
        </w:tc>
        <w:tc>
          <w:tcPr>
            <w:tcW w:w="2131" w:type="dxa"/>
          </w:tcPr>
          <w:p w14:paraId="1D115B8A" w14:textId="77777777" w:rsidR="00CE5C61" w:rsidRDefault="005A6933">
            <w:pPr>
              <w:jc w:val="left"/>
              <w:rPr>
                <w:rFonts w:asciiTheme="minorEastAsia" w:hAnsiTheme="minorEastAsia"/>
                <w:sz w:val="24"/>
              </w:rPr>
            </w:pPr>
            <w:r>
              <w:rPr>
                <w:rFonts w:asciiTheme="minorEastAsia" w:hAnsiTheme="minorEastAsia" w:hint="eastAsia"/>
                <w:sz w:val="24"/>
              </w:rPr>
              <w:t>10-</w:t>
            </w:r>
            <w:r>
              <w:rPr>
                <w:rFonts w:asciiTheme="minorEastAsia" w:hAnsiTheme="minorEastAsia"/>
                <w:sz w:val="24"/>
              </w:rPr>
              <w:t>20</w:t>
            </w:r>
            <w:r>
              <w:rPr>
                <w:rFonts w:asciiTheme="minorEastAsia" w:hAnsiTheme="minorEastAsia"/>
                <w:sz w:val="24"/>
              </w:rPr>
              <w:t>分：</w:t>
            </w:r>
            <w:r>
              <w:rPr>
                <w:rFonts w:asciiTheme="minorEastAsia" w:hAnsiTheme="minorEastAsia" w:hint="eastAsia"/>
                <w:sz w:val="24"/>
              </w:rPr>
              <w:t>表达</w:t>
            </w:r>
            <w:r>
              <w:rPr>
                <w:rFonts w:asciiTheme="minorEastAsia" w:hAnsiTheme="minorEastAsia"/>
                <w:sz w:val="24"/>
              </w:rPr>
              <w:t>清晰、</w:t>
            </w:r>
            <w:r>
              <w:rPr>
                <w:rFonts w:asciiTheme="minorEastAsia" w:hAnsiTheme="minorEastAsia" w:hint="eastAsia"/>
                <w:sz w:val="24"/>
              </w:rPr>
              <w:t>呈现效果具备说服力</w:t>
            </w:r>
          </w:p>
          <w:p w14:paraId="0B0CCAD1" w14:textId="77777777" w:rsidR="00CE5C61" w:rsidRDefault="005A6933">
            <w:pPr>
              <w:jc w:val="left"/>
              <w:rPr>
                <w:rFonts w:asciiTheme="minorEastAsia" w:hAnsiTheme="minorEastAsia"/>
                <w:sz w:val="24"/>
              </w:rPr>
            </w:pPr>
            <w:r>
              <w:rPr>
                <w:rFonts w:asciiTheme="minorEastAsia" w:hAnsiTheme="minorEastAsia" w:hint="eastAsia"/>
                <w:sz w:val="24"/>
              </w:rPr>
              <w:t>5-</w:t>
            </w:r>
            <w:r>
              <w:rPr>
                <w:rFonts w:asciiTheme="minorEastAsia" w:hAnsiTheme="minorEastAsia"/>
                <w:sz w:val="24"/>
              </w:rPr>
              <w:t>10</w:t>
            </w:r>
            <w:r>
              <w:rPr>
                <w:rFonts w:asciiTheme="minorEastAsia" w:hAnsiTheme="minorEastAsia"/>
                <w:sz w:val="24"/>
              </w:rPr>
              <w:t>分：</w:t>
            </w:r>
            <w:r>
              <w:rPr>
                <w:rFonts w:asciiTheme="minorEastAsia" w:hAnsiTheme="minorEastAsia" w:hint="eastAsia"/>
                <w:sz w:val="24"/>
              </w:rPr>
              <w:t>表达</w:t>
            </w:r>
            <w:r>
              <w:rPr>
                <w:rFonts w:asciiTheme="minorEastAsia" w:hAnsiTheme="minorEastAsia"/>
                <w:sz w:val="24"/>
              </w:rPr>
              <w:t>基本清晰但</w:t>
            </w:r>
            <w:r>
              <w:rPr>
                <w:rFonts w:asciiTheme="minorEastAsia" w:hAnsiTheme="minorEastAsia" w:hint="eastAsia"/>
                <w:sz w:val="24"/>
              </w:rPr>
              <w:t>呈现效果</w:t>
            </w:r>
            <w:r>
              <w:rPr>
                <w:rFonts w:asciiTheme="minorEastAsia" w:hAnsiTheme="minorEastAsia"/>
                <w:sz w:val="24"/>
              </w:rPr>
              <w:t>略显生硬</w:t>
            </w:r>
          </w:p>
          <w:p w14:paraId="28B27606" w14:textId="77777777" w:rsidR="00CE5C61" w:rsidRDefault="005A6933">
            <w:pPr>
              <w:jc w:val="left"/>
              <w:rPr>
                <w:rFonts w:asciiTheme="minorEastAsia" w:hAnsiTheme="minorEastAsia"/>
                <w:sz w:val="24"/>
              </w:rPr>
            </w:pPr>
            <w:r>
              <w:rPr>
                <w:rFonts w:asciiTheme="minorEastAsia" w:hAnsiTheme="minorEastAsia" w:hint="eastAsia"/>
                <w:sz w:val="24"/>
              </w:rPr>
              <w:t>0-5</w:t>
            </w:r>
            <w:r>
              <w:rPr>
                <w:rFonts w:asciiTheme="minorEastAsia" w:hAnsiTheme="minorEastAsia" w:hint="eastAsia"/>
                <w:sz w:val="24"/>
              </w:rPr>
              <w:t>分</w:t>
            </w:r>
            <w:r>
              <w:rPr>
                <w:rFonts w:asciiTheme="minorEastAsia" w:hAnsiTheme="minorEastAsia"/>
                <w:sz w:val="24"/>
              </w:rPr>
              <w:t>：汇报不完整或</w:t>
            </w:r>
            <w:r>
              <w:rPr>
                <w:rFonts w:asciiTheme="minorEastAsia" w:hAnsiTheme="minorEastAsia" w:hint="eastAsia"/>
                <w:sz w:val="24"/>
              </w:rPr>
              <w:t>分工安排</w:t>
            </w:r>
            <w:r>
              <w:rPr>
                <w:rFonts w:asciiTheme="minorEastAsia" w:hAnsiTheme="minorEastAsia"/>
                <w:sz w:val="24"/>
              </w:rPr>
              <w:t>混</w:t>
            </w:r>
            <w:r>
              <w:rPr>
                <w:rFonts w:asciiTheme="minorEastAsia" w:hAnsiTheme="minorEastAsia"/>
                <w:sz w:val="24"/>
              </w:rPr>
              <w:lastRenderedPageBreak/>
              <w:t>乱</w:t>
            </w:r>
          </w:p>
        </w:tc>
      </w:tr>
    </w:tbl>
    <w:p w14:paraId="616A9F69" w14:textId="77777777" w:rsidR="00CE5C61" w:rsidRDefault="005A6933">
      <w:pPr>
        <w:pStyle w:val="2"/>
      </w:pPr>
      <w:r>
        <w:lastRenderedPageBreak/>
        <w:t>作品要求</w:t>
      </w:r>
    </w:p>
    <w:p w14:paraId="1BF81068" w14:textId="77777777" w:rsidR="00CE5C61" w:rsidRDefault="005A6933">
      <w:r>
        <w:rPr>
          <w:rFonts w:hint="eastAsia"/>
        </w:rPr>
        <w:t>参赛队伍需提交以下两项内容，其它形式的内容可作为加分项考虑：</w:t>
      </w:r>
    </w:p>
    <w:p w14:paraId="300FD2ED" w14:textId="77777777" w:rsidR="00CE5C61" w:rsidRDefault="005A6933">
      <w:r>
        <w:rPr>
          <w:rFonts w:hint="eastAsia"/>
        </w:rPr>
        <w:t>1.</w:t>
      </w:r>
      <w:r>
        <w:rPr>
          <w:rFonts w:hint="eastAsia"/>
        </w:rPr>
        <w:t>分析展示报告（</w:t>
      </w:r>
      <w:r>
        <w:rPr>
          <w:rFonts w:hint="eastAsia"/>
        </w:rPr>
        <w:t>PPT</w:t>
      </w:r>
      <w:r>
        <w:rPr>
          <w:rFonts w:hint="eastAsia"/>
        </w:rPr>
        <w:t>格式，</w:t>
      </w:r>
      <w:r>
        <w:rPr>
          <w:rFonts w:hint="eastAsia"/>
        </w:rPr>
        <w:t>15</w:t>
      </w:r>
      <w:r>
        <w:rPr>
          <w:rFonts w:hint="eastAsia"/>
        </w:rPr>
        <w:t>页以内）</w:t>
      </w:r>
    </w:p>
    <w:p w14:paraId="077F15CF" w14:textId="77777777" w:rsidR="00CE5C61" w:rsidRDefault="005A6933">
      <w:r>
        <w:rPr>
          <w:rFonts w:hint="eastAsia"/>
        </w:rPr>
        <w:t>包含主要分析逻辑、结果图表和核心结论，可简要附带假设与数据说明，要求图表清晰、重点突出</w:t>
      </w:r>
    </w:p>
    <w:p w14:paraId="317462BE" w14:textId="77777777" w:rsidR="00CE5C61" w:rsidRDefault="00CE5C61"/>
    <w:p w14:paraId="78BEBB79" w14:textId="77777777" w:rsidR="00CE5C61" w:rsidRDefault="005A6933">
      <w:r>
        <w:rPr>
          <w:rFonts w:hint="eastAsia"/>
        </w:rPr>
        <w:t>2.</w:t>
      </w:r>
      <w:r>
        <w:rPr>
          <w:rFonts w:hint="eastAsia"/>
        </w:rPr>
        <w:t>汇报与答辩</w:t>
      </w:r>
    </w:p>
    <w:p w14:paraId="482B0C83" w14:textId="77777777" w:rsidR="00CE5C61" w:rsidRDefault="005A6933">
      <w:r>
        <w:rPr>
          <w:rFonts w:hint="eastAsia"/>
        </w:rPr>
        <w:t>每队在决赛作答时间结束后拥有</w:t>
      </w:r>
      <w:r>
        <w:rPr>
          <w:rFonts w:hint="eastAsia"/>
        </w:rPr>
        <w:t>5</w:t>
      </w:r>
      <w:r>
        <w:rPr>
          <w:rFonts w:hint="eastAsia"/>
        </w:rPr>
        <w:t>分钟展示</w:t>
      </w:r>
      <w:r>
        <w:rPr>
          <w:rFonts w:hint="eastAsia"/>
        </w:rPr>
        <w:t>+5</w:t>
      </w:r>
      <w:r>
        <w:rPr>
          <w:rFonts w:hint="eastAsia"/>
        </w:rPr>
        <w:t>分钟答辩时间</w:t>
      </w:r>
    </w:p>
    <w:p w14:paraId="4F38A0B6" w14:textId="77777777" w:rsidR="00CE5C61" w:rsidRDefault="005A6933">
      <w:pPr>
        <w:pStyle w:val="2"/>
      </w:pPr>
      <w:r>
        <w:t>评分说明</w:t>
      </w:r>
    </w:p>
    <w:p w14:paraId="48716D7B" w14:textId="77777777" w:rsidR="00CE5C61" w:rsidRDefault="005A6933">
      <w:r>
        <w:rPr>
          <w:rFonts w:hint="eastAsia"/>
        </w:rPr>
        <w:t>1.</w:t>
      </w:r>
      <w:r>
        <w:rPr>
          <w:rFonts w:hint="eastAsia"/>
        </w:rPr>
        <w:t>决赛现场允许使用现场网络检索公开数据；</w:t>
      </w:r>
    </w:p>
    <w:p w14:paraId="0CAFB81B" w14:textId="77777777" w:rsidR="00CE5C61" w:rsidRDefault="005A6933">
      <w:r>
        <w:rPr>
          <w:rFonts w:hint="eastAsia"/>
        </w:rPr>
        <w:t>2.</w:t>
      </w:r>
      <w:r>
        <w:rPr>
          <w:rFonts w:hint="eastAsia"/>
        </w:rPr>
        <w:t>禁止使用</w:t>
      </w:r>
      <w:r>
        <w:rPr>
          <w:rFonts w:hint="eastAsia"/>
        </w:rPr>
        <w:t>AI</w:t>
      </w:r>
      <w:r>
        <w:rPr>
          <w:rFonts w:hint="eastAsia"/>
        </w:rPr>
        <w:t>工具自动生成整份报告，但可辅助数据可视化或查验数值；</w:t>
      </w:r>
    </w:p>
    <w:p w14:paraId="634894DB" w14:textId="77777777" w:rsidR="00CE5C61" w:rsidRDefault="005A6933">
      <w:r>
        <w:rPr>
          <w:rFonts w:hint="eastAsia"/>
        </w:rPr>
        <w:t>3.</w:t>
      </w:r>
      <w:r>
        <w:rPr>
          <w:rFonts w:hint="eastAsia"/>
        </w:rPr>
        <w:t>作品以展示逻辑与洞察深度为主，不以模型复杂度为评判核心；</w:t>
      </w:r>
    </w:p>
    <w:p w14:paraId="0E540BD0" w14:textId="77777777" w:rsidR="00CE5C61" w:rsidRDefault="005A6933">
      <w:r>
        <w:rPr>
          <w:rFonts w:hint="eastAsia"/>
        </w:rPr>
        <w:t>4.</w:t>
      </w:r>
      <w:r>
        <w:rPr>
          <w:rFonts w:hint="eastAsia"/>
        </w:rPr>
        <w:t>若被发现报告结构与他队高度相似，按零分处理。</w:t>
      </w:r>
    </w:p>
    <w:sectPr w:rsidR="00CE5C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23004C"/>
    <w:multiLevelType w:val="multilevel"/>
    <w:tmpl w:val="7523004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1331AED"/>
    <w:rsid w:val="00064731"/>
    <w:rsid w:val="000B3823"/>
    <w:rsid w:val="00124AE5"/>
    <w:rsid w:val="001E6038"/>
    <w:rsid w:val="002C3F7F"/>
    <w:rsid w:val="004B655E"/>
    <w:rsid w:val="005A6933"/>
    <w:rsid w:val="005C6549"/>
    <w:rsid w:val="006141A2"/>
    <w:rsid w:val="00A17310"/>
    <w:rsid w:val="00B07304"/>
    <w:rsid w:val="00B80359"/>
    <w:rsid w:val="00CE5C61"/>
    <w:rsid w:val="00F01A51"/>
    <w:rsid w:val="13207F29"/>
    <w:rsid w:val="21331AED"/>
    <w:rsid w:val="29D76730"/>
    <w:rsid w:val="3C5B1B5C"/>
    <w:rsid w:val="63BD7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60AC2"/>
  <w15:docId w15:val="{C594362F-67D2-4649-BAF0-C2A238C58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paragraph" w:styleId="a7">
    <w:name w:val="Normal (Web)"/>
    <w:basedOn w:val="a"/>
    <w:qFormat/>
    <w:pPr>
      <w:spacing w:beforeAutospacing="1" w:afterAutospacing="1"/>
      <w:jc w:val="left"/>
    </w:pPr>
    <w:rPr>
      <w:rFonts w:cs="Times New Roman"/>
      <w:kern w:val="0"/>
      <w:sz w:val="24"/>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customStyle="1" w:styleId="a6">
    <w:name w:val="页眉 字符"/>
    <w:basedOn w:val="a0"/>
    <w:link w:val="a5"/>
    <w:qFormat/>
    <w:rPr>
      <w:kern w:val="2"/>
      <w:sz w:val="18"/>
      <w:szCs w:val="18"/>
    </w:rPr>
  </w:style>
  <w:style w:type="character" w:customStyle="1" w:styleId="a4">
    <w:name w:val="页脚 字符"/>
    <w:basedOn w:val="a0"/>
    <w:link w:val="a3"/>
    <w:qFormat/>
    <w:rPr>
      <w:kern w:val="2"/>
      <w:sz w:val="18"/>
      <w:szCs w:val="18"/>
    </w:rPr>
  </w:style>
  <w:style w:type="character" w:customStyle="1" w:styleId="10">
    <w:name w:val="标题 1 字符"/>
    <w:basedOn w:val="a0"/>
    <w:link w:val="1"/>
    <w:qFormat/>
    <w:rPr>
      <w:b/>
      <w:bCs/>
      <w:kern w:val="44"/>
      <w:sz w:val="44"/>
      <w:szCs w:val="44"/>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30">
    <w:name w:val="标题 3 字符"/>
    <w:basedOn w:val="a0"/>
    <w:link w:val="3"/>
    <w:qFormat/>
    <w:rPr>
      <w:b/>
      <w:bCs/>
      <w:kern w:val="2"/>
      <w:sz w:val="32"/>
      <w:szCs w:val="32"/>
    </w:rPr>
  </w:style>
  <w:style w:type="paragraph" w:styleId="aa">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TotalTime>
  <Pages>3</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徐凯</dc:creator>
  <cp:lastModifiedBy>秦始皇</cp:lastModifiedBy>
  <cp:revision>5</cp:revision>
  <dcterms:created xsi:type="dcterms:W3CDTF">2025-09-30T01:40:00Z</dcterms:created>
  <dcterms:modified xsi:type="dcterms:W3CDTF">2025-10-26T02:25:00Z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09AED7EA5DB04232B5F0F74E48139AAC_13</vt:lpwstr>
  </property>
  <property fmtid="{D5CDD505-2E9C-101B-9397-08002B2CF9AE}" pid="4" name="KSOTemplateDocerSaveRecord">
    <vt:lpwstr>eyJoZGlkIjoiMmIyMDVmMDBkNzMxZDRkMGQ1YmRhYjIzMWI4ZmVmOWYiLCJ1c2VySWQiOiIxNTYyNDYyMTcxIn0=</vt:lpwstr>
  </property>
</Properties>
</file>