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380" w:type="dxa"/>
        <w:tblInd w:w="137" w:type="dxa"/>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tblLook w:val="04A0" w:firstRow="1" w:lastRow="0" w:firstColumn="1" w:lastColumn="0" w:noHBand="0" w:noVBand="1"/>
      </w:tblPr>
      <w:tblGrid>
        <w:gridCol w:w="2885"/>
        <w:gridCol w:w="653"/>
        <w:gridCol w:w="355"/>
        <w:gridCol w:w="777"/>
        <w:gridCol w:w="765"/>
        <w:gridCol w:w="3354"/>
        <w:gridCol w:w="567"/>
        <w:gridCol w:w="125"/>
        <w:gridCol w:w="899"/>
      </w:tblGrid>
      <w:tr w:rsidR="00E26E75" w:rsidRPr="00CF4CB7" w14:paraId="034A5D56" w14:textId="77777777" w:rsidTr="00F77BA9">
        <w:trPr>
          <w:cantSplit/>
          <w:trHeight w:hRule="exact" w:val="284"/>
        </w:trPr>
        <w:tc>
          <w:tcPr>
            <w:tcW w:w="2885" w:type="dxa"/>
          </w:tcPr>
          <w:p w14:paraId="7AA02F69" w14:textId="77777777" w:rsidR="00E26E75" w:rsidRPr="00C108B5" w:rsidRDefault="00E26E75" w:rsidP="00C15F6F">
            <w:pPr>
              <w:rPr>
                <w:rFonts w:cs="Open Sans"/>
                <w:sz w:val="20"/>
                <w:szCs w:val="20"/>
              </w:rPr>
            </w:pPr>
            <w:r w:rsidRPr="00C108B5">
              <w:rPr>
                <w:rFonts w:cs="Open Sans"/>
                <w:sz w:val="20"/>
                <w:szCs w:val="20"/>
              </w:rPr>
              <w:t>Nombre total de citations :</w:t>
            </w:r>
          </w:p>
        </w:tc>
        <w:tc>
          <w:tcPr>
            <w:tcW w:w="1785" w:type="dxa"/>
            <w:gridSpan w:val="3"/>
          </w:tcPr>
          <w:p w14:paraId="6E47CCB9" w14:textId="37CD5529" w:rsidR="00E26E75" w:rsidRPr="00C108B5" w:rsidRDefault="00DC75C8" w:rsidP="00271720">
            <w:pPr>
              <w:jc w:val="right"/>
              <w:rPr>
                <w:rFonts w:cs="Open Sans"/>
                <w:color w:val="C00000"/>
                <w:sz w:val="20"/>
                <w:szCs w:val="20"/>
              </w:rPr>
            </w:pPr>
            <w:proofErr w:type="gramStart"/>
            <w:r>
              <w:rPr>
                <w:rFonts w:cs="Open Sans"/>
                <w:sz w:val="20"/>
                <w:szCs w:val="20"/>
              </w:rPr>
              <w:t>x</w:t>
            </w:r>
            <w:proofErr w:type="gramEnd"/>
          </w:p>
        </w:tc>
        <w:tc>
          <w:tcPr>
            <w:tcW w:w="765" w:type="dxa"/>
          </w:tcPr>
          <w:p w14:paraId="5385BF88" w14:textId="77777777" w:rsidR="00E26E75" w:rsidRPr="00C108B5" w:rsidRDefault="00E26E75" w:rsidP="00C15F6F">
            <w:pPr>
              <w:rPr>
                <w:rFonts w:cs="Open Sans"/>
                <w:sz w:val="20"/>
                <w:szCs w:val="20"/>
              </w:rPr>
            </w:pPr>
          </w:p>
        </w:tc>
        <w:tc>
          <w:tcPr>
            <w:tcW w:w="4046" w:type="dxa"/>
            <w:gridSpan w:val="3"/>
          </w:tcPr>
          <w:p w14:paraId="4D1194A7" w14:textId="7F79E89A" w:rsidR="00E26E75" w:rsidRPr="00C108B5" w:rsidRDefault="00E26E75" w:rsidP="002F4922">
            <w:pPr>
              <w:rPr>
                <w:rFonts w:cs="Open Sans"/>
                <w:sz w:val="20"/>
                <w:szCs w:val="20"/>
              </w:rPr>
            </w:pPr>
            <w:r w:rsidRPr="00C108B5">
              <w:rPr>
                <w:rFonts w:cs="Open Sans"/>
                <w:sz w:val="20"/>
                <w:szCs w:val="20"/>
              </w:rPr>
              <w:t xml:space="preserve">% pub. </w:t>
            </w:r>
            <w:proofErr w:type="gramStart"/>
            <w:r w:rsidR="002F0B2A">
              <w:rPr>
                <w:rFonts w:cs="Open Sans"/>
                <w:sz w:val="20"/>
                <w:szCs w:val="20"/>
              </w:rPr>
              <w:t>très</w:t>
            </w:r>
            <w:proofErr w:type="gramEnd"/>
            <w:r w:rsidRPr="00C108B5">
              <w:rPr>
                <w:rFonts w:cs="Open Sans"/>
                <w:sz w:val="20"/>
                <w:szCs w:val="20"/>
              </w:rPr>
              <w:t xml:space="preserve"> citées (1</w:t>
            </w:r>
            <w:r w:rsidRPr="00C108B5">
              <w:rPr>
                <w:rFonts w:cs="Open Sans"/>
                <w:sz w:val="20"/>
                <w:szCs w:val="20"/>
                <w:vertAlign w:val="superscript"/>
              </w:rPr>
              <w:t>er</w:t>
            </w:r>
            <w:r w:rsidRPr="00C108B5">
              <w:rPr>
                <w:rFonts w:cs="Open Sans"/>
                <w:sz w:val="20"/>
                <w:szCs w:val="20"/>
              </w:rPr>
              <w:t xml:space="preserve"> </w:t>
            </w:r>
            <w:r w:rsidR="002F0B2A">
              <w:rPr>
                <w:rFonts w:cs="Open Sans"/>
                <w:sz w:val="20"/>
                <w:szCs w:val="20"/>
              </w:rPr>
              <w:t>décile</w:t>
            </w:r>
            <w:r w:rsidRPr="00C108B5">
              <w:rPr>
                <w:rFonts w:cs="Open Sans"/>
                <w:sz w:val="20"/>
                <w:szCs w:val="20"/>
              </w:rPr>
              <w:t>)</w:t>
            </w:r>
            <w:r>
              <w:rPr>
                <w:rFonts w:cs="Open Sans"/>
                <w:sz w:val="20"/>
                <w:szCs w:val="20"/>
              </w:rPr>
              <w:t xml:space="preserve"> </w:t>
            </w:r>
            <w:r w:rsidRPr="00C108B5">
              <w:rPr>
                <w:rFonts w:cs="Open Sans"/>
                <w:noProof/>
                <w:sz w:val="20"/>
                <w:szCs w:val="20"/>
                <w:lang w:eastAsia="fr-CA"/>
              </w:rPr>
              <w:t>20</w:t>
            </w:r>
            <w:r w:rsidR="0043345F">
              <w:rPr>
                <w:rFonts w:cs="Open Sans"/>
                <w:noProof/>
                <w:sz w:val="20"/>
                <w:szCs w:val="20"/>
                <w:lang w:eastAsia="fr-CA"/>
              </w:rPr>
              <w:t>1</w:t>
            </w:r>
            <w:r w:rsidR="002D0321">
              <w:rPr>
                <w:rFonts w:cs="Open Sans"/>
                <w:noProof/>
                <w:sz w:val="20"/>
                <w:szCs w:val="20"/>
                <w:lang w:eastAsia="fr-CA"/>
              </w:rPr>
              <w:t>7</w:t>
            </w:r>
            <w:r w:rsidRPr="00C108B5">
              <w:rPr>
                <w:rFonts w:cs="Open Sans"/>
                <w:noProof/>
                <w:sz w:val="20"/>
                <w:szCs w:val="20"/>
                <w:lang w:eastAsia="fr-CA"/>
              </w:rPr>
              <w:t xml:space="preserve"> à 20</w:t>
            </w:r>
            <w:r w:rsidR="0043345F">
              <w:rPr>
                <w:rFonts w:cs="Open Sans"/>
                <w:noProof/>
                <w:sz w:val="20"/>
                <w:szCs w:val="20"/>
                <w:lang w:eastAsia="fr-CA"/>
              </w:rPr>
              <w:t>2</w:t>
            </w:r>
            <w:r w:rsidR="002D0321">
              <w:rPr>
                <w:rFonts w:cs="Open Sans"/>
                <w:noProof/>
                <w:sz w:val="20"/>
                <w:szCs w:val="20"/>
                <w:lang w:eastAsia="fr-CA"/>
              </w:rPr>
              <w:t>1</w:t>
            </w:r>
            <w:r>
              <w:rPr>
                <w:rFonts w:cs="Open Sans"/>
                <w:sz w:val="20"/>
                <w:szCs w:val="20"/>
              </w:rPr>
              <w:t> :</w:t>
            </w:r>
          </w:p>
        </w:tc>
        <w:tc>
          <w:tcPr>
            <w:tcW w:w="899" w:type="dxa"/>
          </w:tcPr>
          <w:p w14:paraId="3680B91D" w14:textId="0EB32657" w:rsidR="00E26E75" w:rsidRPr="00C108B5" w:rsidRDefault="00822EB2" w:rsidP="00BB3AC7">
            <w:pPr>
              <w:jc w:val="right"/>
              <w:rPr>
                <w:rFonts w:cs="Open Sans"/>
                <w:color w:val="C00000"/>
                <w:sz w:val="20"/>
                <w:szCs w:val="20"/>
              </w:rPr>
            </w:pPr>
            <w:r>
              <w:rPr>
                <w:rFonts w:cs="Open Sans"/>
                <w:noProof/>
                <w:sz w:val="20"/>
                <w:szCs w:val="20"/>
                <w:lang w:eastAsia="fr-CA"/>
              </w:rPr>
              <w:t>XX</w:t>
            </w:r>
            <w:r w:rsidR="00BF1F85">
              <w:rPr>
                <w:rFonts w:cs="Open Sans"/>
                <w:noProof/>
                <w:sz w:val="20"/>
                <w:szCs w:val="20"/>
                <w:lang w:eastAsia="fr-CA"/>
              </w:rPr>
              <w:t xml:space="preserve"> </w:t>
            </w:r>
            <w:r w:rsidR="00E26E75" w:rsidRPr="00990146">
              <w:rPr>
                <w:rFonts w:cs="Open Sans"/>
                <w:noProof/>
                <w:sz w:val="20"/>
                <w:szCs w:val="20"/>
                <w:lang w:eastAsia="fr-CA"/>
              </w:rPr>
              <w:t>%</w:t>
            </w:r>
          </w:p>
        </w:tc>
      </w:tr>
      <w:tr w:rsidR="00E26E75" w:rsidRPr="00CF4CB7" w14:paraId="2E9CC5A3" w14:textId="77777777" w:rsidTr="001000EC">
        <w:trPr>
          <w:cantSplit/>
          <w:trHeight w:hRule="exact" w:val="284"/>
        </w:trPr>
        <w:tc>
          <w:tcPr>
            <w:tcW w:w="3893" w:type="dxa"/>
            <w:gridSpan w:val="3"/>
          </w:tcPr>
          <w:p w14:paraId="56EB70E0" w14:textId="0E4C07FA" w:rsidR="00E26E75" w:rsidRPr="00C108B5" w:rsidRDefault="00E26E75" w:rsidP="00964CC2">
            <w:pPr>
              <w:ind w:right="-180"/>
              <w:rPr>
                <w:rFonts w:cs="Open Sans"/>
                <w:sz w:val="20"/>
                <w:szCs w:val="20"/>
              </w:rPr>
            </w:pPr>
            <w:r w:rsidRPr="00C108B5">
              <w:rPr>
                <w:rFonts w:cs="Open Sans"/>
                <w:noProof/>
                <w:sz w:val="20"/>
                <w:szCs w:val="20"/>
                <w:lang w:eastAsia="fr-CA"/>
              </w:rPr>
              <w:t>Moy</w:t>
            </w:r>
            <w:r w:rsidR="00964CC2">
              <w:rPr>
                <w:rFonts w:cs="Open Sans"/>
                <w:noProof/>
                <w:sz w:val="20"/>
                <w:szCs w:val="20"/>
                <w:lang w:eastAsia="fr-CA"/>
              </w:rPr>
              <w:t>enne</w:t>
            </w:r>
            <w:r w:rsidRPr="00C108B5">
              <w:rPr>
                <w:rFonts w:cs="Open Sans"/>
                <w:noProof/>
                <w:sz w:val="20"/>
                <w:szCs w:val="20"/>
                <w:lang w:eastAsia="fr-CA"/>
              </w:rPr>
              <w:t xml:space="preserve"> de citations par pub.  201</w:t>
            </w:r>
            <w:r w:rsidR="002D0321">
              <w:rPr>
                <w:rFonts w:cs="Open Sans"/>
                <w:noProof/>
                <w:sz w:val="20"/>
                <w:szCs w:val="20"/>
                <w:lang w:eastAsia="fr-CA"/>
              </w:rPr>
              <w:t>7</w:t>
            </w:r>
            <w:r w:rsidRPr="00C108B5">
              <w:rPr>
                <w:rFonts w:cs="Open Sans"/>
                <w:noProof/>
                <w:sz w:val="20"/>
                <w:szCs w:val="20"/>
                <w:lang w:eastAsia="fr-CA"/>
              </w:rPr>
              <w:t xml:space="preserve"> à 20</w:t>
            </w:r>
            <w:r w:rsidR="0043345F">
              <w:rPr>
                <w:rFonts w:cs="Open Sans"/>
                <w:noProof/>
                <w:sz w:val="20"/>
                <w:szCs w:val="20"/>
                <w:lang w:eastAsia="fr-CA"/>
              </w:rPr>
              <w:t>2</w:t>
            </w:r>
            <w:r w:rsidR="002D0321">
              <w:rPr>
                <w:rFonts w:cs="Open Sans"/>
                <w:noProof/>
                <w:sz w:val="20"/>
                <w:szCs w:val="20"/>
                <w:lang w:eastAsia="fr-CA"/>
              </w:rPr>
              <w:t>1</w:t>
            </w:r>
            <w:r>
              <w:rPr>
                <w:rFonts w:cs="Open Sans"/>
                <w:noProof/>
                <w:sz w:val="20"/>
                <w:szCs w:val="20"/>
                <w:lang w:eastAsia="fr-CA"/>
              </w:rPr>
              <w:t> :</w:t>
            </w:r>
          </w:p>
        </w:tc>
        <w:tc>
          <w:tcPr>
            <w:tcW w:w="777" w:type="dxa"/>
          </w:tcPr>
          <w:p w14:paraId="215629E8" w14:textId="1590E2E9" w:rsidR="00E26E75" w:rsidRPr="00C108B5" w:rsidRDefault="00DC75C8" w:rsidP="00271720">
            <w:pPr>
              <w:jc w:val="right"/>
              <w:rPr>
                <w:rFonts w:cs="Open Sans"/>
                <w:color w:val="C00000"/>
                <w:sz w:val="20"/>
                <w:szCs w:val="20"/>
              </w:rPr>
            </w:pPr>
            <w:proofErr w:type="gramStart"/>
            <w:r>
              <w:rPr>
                <w:rFonts w:cs="Open Sans"/>
                <w:sz w:val="20"/>
                <w:szCs w:val="20"/>
              </w:rPr>
              <w:t>x</w:t>
            </w:r>
            <w:proofErr w:type="gramEnd"/>
          </w:p>
        </w:tc>
        <w:tc>
          <w:tcPr>
            <w:tcW w:w="765" w:type="dxa"/>
          </w:tcPr>
          <w:p w14:paraId="01925C50" w14:textId="77777777" w:rsidR="00E26E75" w:rsidRPr="00C108B5" w:rsidRDefault="00E26E75" w:rsidP="00BB3AC7">
            <w:pPr>
              <w:rPr>
                <w:rFonts w:cs="Open Sans"/>
                <w:noProof/>
                <w:sz w:val="20"/>
                <w:szCs w:val="20"/>
                <w:lang w:eastAsia="fr-CA"/>
              </w:rPr>
            </w:pPr>
          </w:p>
        </w:tc>
        <w:tc>
          <w:tcPr>
            <w:tcW w:w="3354" w:type="dxa"/>
          </w:tcPr>
          <w:p w14:paraId="66EC10EC" w14:textId="027DE009" w:rsidR="00E26E75" w:rsidRPr="00BE2DAC" w:rsidRDefault="00E26E75" w:rsidP="00BB3AC7">
            <w:pPr>
              <w:rPr>
                <w:rFonts w:cs="Open Sans"/>
                <w:noProof/>
                <w:sz w:val="20"/>
                <w:szCs w:val="20"/>
                <w:lang w:eastAsia="fr-CA"/>
              </w:rPr>
            </w:pPr>
            <w:r w:rsidRPr="00BE2DAC">
              <w:rPr>
                <w:rFonts w:cs="Open Sans"/>
                <w:noProof/>
                <w:sz w:val="20"/>
                <w:szCs w:val="20"/>
                <w:lang w:eastAsia="fr-CA"/>
              </w:rPr>
              <w:t>% 1</w:t>
            </w:r>
            <w:r w:rsidRPr="00BE2DAC">
              <w:rPr>
                <w:rFonts w:cs="Open Sans"/>
                <w:noProof/>
                <w:sz w:val="20"/>
                <w:szCs w:val="20"/>
                <w:vertAlign w:val="superscript"/>
                <w:lang w:eastAsia="fr-CA"/>
              </w:rPr>
              <w:t>er</w:t>
            </w:r>
            <w:r w:rsidRPr="00BE2DAC">
              <w:rPr>
                <w:rFonts w:cs="Open Sans"/>
                <w:noProof/>
                <w:sz w:val="20"/>
                <w:szCs w:val="20"/>
                <w:lang w:eastAsia="fr-CA"/>
              </w:rPr>
              <w:t xml:space="preserve"> et dernier auteur</w:t>
            </w:r>
            <w:r w:rsidR="00E7773C" w:rsidRPr="00E7773C">
              <w:rPr>
                <w:rFonts w:cs="Open Sans"/>
                <w:noProof/>
                <w:sz w:val="20"/>
                <w:szCs w:val="20"/>
                <w:vertAlign w:val="superscript"/>
                <w:lang w:eastAsia="fr-CA"/>
              </w:rPr>
              <w:t>2</w:t>
            </w:r>
            <w:r w:rsidRPr="00BE2DAC">
              <w:rPr>
                <w:rFonts w:cs="Open Sans"/>
                <w:noProof/>
                <w:sz w:val="20"/>
                <w:szCs w:val="20"/>
                <w:lang w:eastAsia="fr-CA"/>
              </w:rPr>
              <w:t xml:space="preserve"> ≥ 201</w:t>
            </w:r>
            <w:r w:rsidR="002D0321">
              <w:rPr>
                <w:rFonts w:cs="Open Sans"/>
                <w:noProof/>
                <w:sz w:val="20"/>
                <w:szCs w:val="20"/>
                <w:lang w:eastAsia="fr-CA"/>
              </w:rPr>
              <w:t>7</w:t>
            </w:r>
            <w:r w:rsidRPr="00BE2DAC">
              <w:rPr>
                <w:rFonts w:cs="Open Sans"/>
                <w:noProof/>
                <w:sz w:val="20"/>
                <w:szCs w:val="20"/>
                <w:lang w:eastAsia="fr-CA"/>
              </w:rPr>
              <w:t xml:space="preserve"> : </w:t>
            </w:r>
          </w:p>
        </w:tc>
        <w:tc>
          <w:tcPr>
            <w:tcW w:w="1591" w:type="dxa"/>
            <w:gridSpan w:val="3"/>
          </w:tcPr>
          <w:p w14:paraId="09521FDB" w14:textId="6480AE64" w:rsidR="00E26E75" w:rsidRPr="00BE2DAC" w:rsidRDefault="00BF1F85" w:rsidP="006F6874">
            <w:pPr>
              <w:jc w:val="right"/>
              <w:rPr>
                <w:rFonts w:cs="Open Sans"/>
                <w:noProof/>
                <w:color w:val="C00000"/>
                <w:sz w:val="20"/>
                <w:szCs w:val="20"/>
                <w:lang w:eastAsia="fr-CA"/>
              </w:rPr>
            </w:pPr>
            <w:r>
              <w:rPr>
                <w:rFonts w:cs="Open Sans"/>
                <w:noProof/>
                <w:sz w:val="20"/>
                <w:szCs w:val="20"/>
                <w:lang w:eastAsia="fr-CA"/>
              </w:rPr>
              <w:t>X</w:t>
            </w:r>
            <w:r w:rsidR="00691640" w:rsidRPr="00691640">
              <w:rPr>
                <w:rFonts w:cs="Open Sans"/>
                <w:noProof/>
                <w:sz w:val="20"/>
                <w:szCs w:val="20"/>
                <w:lang w:eastAsia="fr-CA"/>
              </w:rPr>
              <w:t xml:space="preserve"> </w:t>
            </w:r>
            <w:r w:rsidR="006F6874" w:rsidRPr="00691640">
              <w:rPr>
                <w:rFonts w:cs="Open Sans"/>
                <w:noProof/>
                <w:sz w:val="20"/>
                <w:szCs w:val="20"/>
                <w:lang w:eastAsia="fr-CA"/>
              </w:rPr>
              <w:t>%</w:t>
            </w:r>
            <w:r w:rsidR="00691640">
              <w:rPr>
                <w:rFonts w:cs="Open Sans"/>
                <w:noProof/>
                <w:sz w:val="20"/>
                <w:szCs w:val="20"/>
                <w:lang w:eastAsia="fr-CA"/>
              </w:rPr>
              <w:t xml:space="preserve"> </w:t>
            </w:r>
            <w:r w:rsidR="00E26E75" w:rsidRPr="00691640">
              <w:rPr>
                <w:rFonts w:cs="Open Sans"/>
                <w:noProof/>
                <w:sz w:val="20"/>
                <w:szCs w:val="20"/>
                <w:lang w:eastAsia="fr-CA"/>
              </w:rPr>
              <w:t>|</w:t>
            </w:r>
            <w:r>
              <w:rPr>
                <w:rFonts w:cs="Open Sans"/>
                <w:noProof/>
                <w:sz w:val="20"/>
                <w:szCs w:val="20"/>
                <w:lang w:eastAsia="fr-CA"/>
              </w:rPr>
              <w:t>XX</w:t>
            </w:r>
            <w:r w:rsidR="00691640" w:rsidRPr="00691640">
              <w:rPr>
                <w:rFonts w:cs="Open Sans"/>
                <w:noProof/>
                <w:sz w:val="20"/>
                <w:szCs w:val="20"/>
                <w:lang w:eastAsia="fr-CA"/>
              </w:rPr>
              <w:t xml:space="preserve"> </w:t>
            </w:r>
            <w:r w:rsidR="00E26E75" w:rsidRPr="00691640">
              <w:rPr>
                <w:rFonts w:cs="Open Sans"/>
                <w:noProof/>
                <w:sz w:val="20"/>
                <w:szCs w:val="20"/>
                <w:lang w:eastAsia="fr-CA"/>
              </w:rPr>
              <w:t>%</w:t>
            </w:r>
          </w:p>
        </w:tc>
      </w:tr>
      <w:tr w:rsidR="00E26E75" w:rsidRPr="00CF4CB7" w14:paraId="51BEDC2E" w14:textId="77777777" w:rsidTr="001000EC">
        <w:trPr>
          <w:cantSplit/>
          <w:trHeight w:hRule="exact" w:val="284"/>
        </w:trPr>
        <w:tc>
          <w:tcPr>
            <w:tcW w:w="3538" w:type="dxa"/>
            <w:gridSpan w:val="2"/>
          </w:tcPr>
          <w:p w14:paraId="4F56D714" w14:textId="2552C67F" w:rsidR="00E26E75" w:rsidRPr="00C108B5" w:rsidRDefault="00E26E75" w:rsidP="00061127">
            <w:pPr>
              <w:rPr>
                <w:rFonts w:cs="Open Sans"/>
                <w:sz w:val="20"/>
                <w:szCs w:val="20"/>
              </w:rPr>
            </w:pPr>
            <w:r w:rsidRPr="00C108B5">
              <w:rPr>
                <w:rFonts w:cs="Open Sans"/>
                <w:sz w:val="20"/>
                <w:szCs w:val="20"/>
              </w:rPr>
              <w:t>Moyenne relative (MCR)</w:t>
            </w:r>
            <w:r>
              <w:rPr>
                <w:rFonts w:cs="Open Sans"/>
                <w:sz w:val="20"/>
                <w:szCs w:val="20"/>
                <w:vertAlign w:val="superscript"/>
              </w:rPr>
              <w:t>1</w:t>
            </w:r>
            <w:r w:rsidR="00B019CA">
              <w:rPr>
                <w:rFonts w:cs="Open Sans"/>
                <w:noProof/>
                <w:sz w:val="20"/>
                <w:szCs w:val="20"/>
                <w:lang w:eastAsia="fr-CA"/>
              </w:rPr>
              <w:t xml:space="preserve"> 201</w:t>
            </w:r>
            <w:r w:rsidR="002D0321">
              <w:rPr>
                <w:rFonts w:cs="Open Sans"/>
                <w:noProof/>
                <w:sz w:val="20"/>
                <w:szCs w:val="20"/>
                <w:lang w:eastAsia="fr-CA"/>
              </w:rPr>
              <w:t>7</w:t>
            </w:r>
            <w:r w:rsidR="00B019CA">
              <w:rPr>
                <w:rFonts w:cs="Open Sans"/>
                <w:noProof/>
                <w:sz w:val="20"/>
                <w:szCs w:val="20"/>
                <w:lang w:eastAsia="fr-CA"/>
              </w:rPr>
              <w:t xml:space="preserve"> à </w:t>
            </w:r>
            <w:r w:rsidR="00C5457A">
              <w:rPr>
                <w:rFonts w:cs="Open Sans"/>
                <w:noProof/>
                <w:sz w:val="20"/>
                <w:szCs w:val="20"/>
                <w:lang w:eastAsia="fr-CA"/>
              </w:rPr>
              <w:t>2</w:t>
            </w:r>
            <w:r w:rsidR="00B019CA">
              <w:rPr>
                <w:rFonts w:cs="Open Sans"/>
                <w:noProof/>
                <w:sz w:val="20"/>
                <w:szCs w:val="20"/>
                <w:lang w:eastAsia="fr-CA"/>
              </w:rPr>
              <w:t>0</w:t>
            </w:r>
            <w:r w:rsidR="0043345F">
              <w:rPr>
                <w:rFonts w:cs="Open Sans"/>
                <w:noProof/>
                <w:sz w:val="20"/>
                <w:szCs w:val="20"/>
                <w:lang w:eastAsia="fr-CA"/>
              </w:rPr>
              <w:t>2</w:t>
            </w:r>
            <w:r w:rsidR="002D0321">
              <w:rPr>
                <w:rFonts w:cs="Open Sans"/>
                <w:noProof/>
                <w:sz w:val="20"/>
                <w:szCs w:val="20"/>
                <w:lang w:eastAsia="fr-CA"/>
              </w:rPr>
              <w:t>1</w:t>
            </w:r>
            <w:r w:rsidRPr="00C108B5">
              <w:rPr>
                <w:rFonts w:cs="Open Sans"/>
                <w:noProof/>
                <w:sz w:val="20"/>
                <w:szCs w:val="20"/>
                <w:lang w:eastAsia="fr-CA"/>
              </w:rPr>
              <w:t>:</w:t>
            </w:r>
          </w:p>
        </w:tc>
        <w:tc>
          <w:tcPr>
            <w:tcW w:w="1132" w:type="dxa"/>
            <w:gridSpan w:val="2"/>
          </w:tcPr>
          <w:p w14:paraId="51860470" w14:textId="13DFC73C" w:rsidR="00E26E75" w:rsidRPr="00C108B5" w:rsidRDefault="00DC75C8" w:rsidP="00B019CA">
            <w:pPr>
              <w:jc w:val="right"/>
              <w:rPr>
                <w:rFonts w:cs="Open Sans"/>
                <w:noProof/>
                <w:color w:val="C00000"/>
                <w:sz w:val="20"/>
                <w:szCs w:val="20"/>
                <w:lang w:eastAsia="fr-CA"/>
              </w:rPr>
            </w:pPr>
            <w:r>
              <w:rPr>
                <w:rFonts w:cs="Open Sans"/>
                <w:noProof/>
                <w:sz w:val="20"/>
                <w:szCs w:val="20"/>
                <w:lang w:eastAsia="fr-CA"/>
              </w:rPr>
              <w:t>x</w:t>
            </w:r>
          </w:p>
        </w:tc>
        <w:tc>
          <w:tcPr>
            <w:tcW w:w="765" w:type="dxa"/>
          </w:tcPr>
          <w:p w14:paraId="1D65254A" w14:textId="77777777" w:rsidR="00E26E75" w:rsidRPr="00C108B5" w:rsidRDefault="00E26E75" w:rsidP="00BB3AC7">
            <w:pPr>
              <w:rPr>
                <w:rFonts w:cs="Open Sans"/>
                <w:noProof/>
                <w:sz w:val="18"/>
                <w:szCs w:val="18"/>
                <w:lang w:eastAsia="fr-CA"/>
              </w:rPr>
            </w:pPr>
          </w:p>
        </w:tc>
        <w:tc>
          <w:tcPr>
            <w:tcW w:w="3921" w:type="dxa"/>
            <w:gridSpan w:val="2"/>
          </w:tcPr>
          <w:p w14:paraId="4C54513D" w14:textId="09DBD191" w:rsidR="00E26E75" w:rsidRPr="00BE2DAC" w:rsidRDefault="00E26E75" w:rsidP="00BB3AC7">
            <w:pPr>
              <w:rPr>
                <w:rFonts w:cs="Open Sans"/>
                <w:noProof/>
                <w:sz w:val="20"/>
                <w:szCs w:val="20"/>
                <w:lang w:eastAsia="fr-CA"/>
              </w:rPr>
            </w:pPr>
            <w:r w:rsidRPr="00BE2DAC">
              <w:rPr>
                <w:rFonts w:cs="Open Sans"/>
                <w:noProof/>
                <w:sz w:val="18"/>
                <w:szCs w:val="18"/>
                <w:lang w:eastAsia="fr-CA"/>
              </w:rPr>
              <w:t>% pub. en collab</w:t>
            </w:r>
            <w:r w:rsidR="00990146">
              <w:rPr>
                <w:rFonts w:cs="Open Sans"/>
                <w:noProof/>
                <w:sz w:val="18"/>
                <w:szCs w:val="18"/>
                <w:lang w:eastAsia="fr-CA"/>
              </w:rPr>
              <w:t>o</w:t>
            </w:r>
            <w:r w:rsidR="002B4850">
              <w:rPr>
                <w:rFonts w:cs="Open Sans"/>
                <w:noProof/>
                <w:sz w:val="18"/>
                <w:szCs w:val="18"/>
                <w:lang w:eastAsia="fr-CA"/>
              </w:rPr>
              <w:t xml:space="preserve">ration </w:t>
            </w:r>
            <w:r w:rsidR="005A66EB">
              <w:rPr>
                <w:rFonts w:cs="Open Sans"/>
                <w:noProof/>
                <w:sz w:val="18"/>
                <w:szCs w:val="18"/>
                <w:lang w:eastAsia="fr-CA"/>
              </w:rPr>
              <w:t>avec industrie</w:t>
            </w:r>
            <w:r w:rsidRPr="00BE2DAC">
              <w:rPr>
                <w:rFonts w:cs="Open Sans"/>
                <w:noProof/>
                <w:sz w:val="18"/>
                <w:szCs w:val="18"/>
                <w:lang w:eastAsia="fr-CA"/>
              </w:rPr>
              <w:t xml:space="preserve"> ≥ 201</w:t>
            </w:r>
            <w:r w:rsidR="002D0321">
              <w:rPr>
                <w:rFonts w:cs="Open Sans"/>
                <w:noProof/>
                <w:sz w:val="18"/>
                <w:szCs w:val="18"/>
                <w:lang w:eastAsia="fr-CA"/>
              </w:rPr>
              <w:t>7</w:t>
            </w:r>
            <w:r w:rsidR="002B4850">
              <w:rPr>
                <w:rFonts w:cs="Open Sans"/>
                <w:noProof/>
                <w:sz w:val="18"/>
                <w:szCs w:val="18"/>
                <w:lang w:eastAsia="fr-CA"/>
              </w:rPr>
              <w:t> :</w:t>
            </w:r>
            <w:r w:rsidRPr="00BE2DAC">
              <w:rPr>
                <w:rFonts w:cs="Open Sans"/>
                <w:noProof/>
                <w:sz w:val="20"/>
                <w:szCs w:val="20"/>
                <w:lang w:eastAsia="fr-CA"/>
              </w:rPr>
              <w:t xml:space="preserve"> </w:t>
            </w:r>
          </w:p>
        </w:tc>
        <w:tc>
          <w:tcPr>
            <w:tcW w:w="1024" w:type="dxa"/>
            <w:gridSpan w:val="2"/>
          </w:tcPr>
          <w:p w14:paraId="59BD6454" w14:textId="68CCAA6E" w:rsidR="00E26E75" w:rsidRPr="00BE2DAC" w:rsidRDefault="00BF1F85" w:rsidP="00C15F6F">
            <w:pPr>
              <w:jc w:val="right"/>
              <w:rPr>
                <w:rFonts w:cs="Open Sans"/>
                <w:noProof/>
                <w:color w:val="C00000"/>
                <w:sz w:val="20"/>
                <w:szCs w:val="20"/>
                <w:lang w:eastAsia="fr-CA"/>
              </w:rPr>
            </w:pPr>
            <w:r>
              <w:rPr>
                <w:rFonts w:cs="Open Sans"/>
                <w:noProof/>
                <w:sz w:val="20"/>
                <w:szCs w:val="20"/>
                <w:lang w:eastAsia="fr-CA"/>
              </w:rPr>
              <w:t>XX</w:t>
            </w:r>
            <w:r w:rsidR="00E26E75" w:rsidRPr="00BE2DAC">
              <w:rPr>
                <w:rFonts w:cs="Open Sans"/>
                <w:noProof/>
                <w:sz w:val="20"/>
                <w:szCs w:val="20"/>
                <w:lang w:eastAsia="fr-CA"/>
              </w:rPr>
              <w:t xml:space="preserve"> %</w:t>
            </w:r>
          </w:p>
        </w:tc>
      </w:tr>
    </w:tbl>
    <w:p w14:paraId="2211BF9B" w14:textId="77777777" w:rsidR="00B515EF" w:rsidRDefault="00781F06" w:rsidP="00F16E5C">
      <w:pPr>
        <w:tabs>
          <w:tab w:val="center" w:pos="9498"/>
        </w:tabs>
        <w:ind w:right="45"/>
        <w:rPr>
          <w:rStyle w:val="txt"/>
          <w:rFonts w:eastAsia="Times New Roman" w:cs="Arial"/>
          <w:sz w:val="20"/>
          <w:szCs w:val="16"/>
        </w:rPr>
        <w:sectPr w:rsidR="00B515EF" w:rsidSect="00227667">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378" w:right="720" w:bottom="720" w:left="993" w:header="137" w:footer="708" w:gutter="0"/>
          <w:cols w:space="708"/>
          <w:docGrid w:linePitch="360"/>
        </w:sectPr>
      </w:pPr>
      <w:r>
        <w:rPr>
          <w:rStyle w:val="Appeldenotedefin"/>
          <w:rFonts w:eastAsia="Times New Roman" w:cs="Arial"/>
          <w:sz w:val="20"/>
          <w:szCs w:val="16"/>
        </w:rPr>
        <w:t xml:space="preserve"> </w:t>
      </w:r>
    </w:p>
    <w:p w14:paraId="1DF0708E" w14:textId="77777777" w:rsidR="00F16E5C" w:rsidRDefault="0035172B" w:rsidP="0035172B">
      <w:pPr>
        <w:tabs>
          <w:tab w:val="center" w:pos="9498"/>
        </w:tabs>
        <w:jc w:val="both"/>
        <w:rPr>
          <w:rStyle w:val="txt"/>
          <w:rFonts w:eastAsia="Times New Roman" w:cs="Arial"/>
          <w:sz w:val="20"/>
          <w:szCs w:val="16"/>
        </w:rPr>
      </w:pPr>
      <w:r>
        <w:rPr>
          <w:noProof/>
          <w:color w:val="FFFFFF" w:themeColor="background1"/>
          <w:lang w:eastAsia="fr-CA"/>
        </w:rPr>
        <w:drawing>
          <wp:inline distT="0" distB="0" distL="0" distR="0" wp14:anchorId="32296A04" wp14:editId="51718E61">
            <wp:extent cx="2949575" cy="2478405"/>
            <wp:effectExtent l="0" t="0" r="3175"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1AC9DC" w14:textId="77777777" w:rsidR="00B515EF" w:rsidRDefault="00B515EF" w:rsidP="00F16E5C">
      <w:pPr>
        <w:tabs>
          <w:tab w:val="center" w:pos="9498"/>
        </w:tabs>
        <w:ind w:right="45"/>
        <w:rPr>
          <w:rStyle w:val="txt"/>
          <w:rFonts w:eastAsia="Times New Roman" w:cs="Arial"/>
          <w:sz w:val="20"/>
          <w:szCs w:val="16"/>
        </w:rPr>
      </w:pPr>
      <w:r>
        <w:rPr>
          <w:noProof/>
          <w:color w:val="000000" w:themeColor="text1"/>
          <w:lang w:eastAsia="fr-CA"/>
        </w:rPr>
        <w:drawing>
          <wp:inline distT="0" distB="0" distL="0" distR="0" wp14:anchorId="779429C8" wp14:editId="4291EFB8">
            <wp:extent cx="3235960" cy="2478405"/>
            <wp:effectExtent l="0" t="0" r="254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BEC156" w14:textId="77777777" w:rsidR="00B515EF" w:rsidRDefault="00B515EF" w:rsidP="00F16E5C">
      <w:pPr>
        <w:tabs>
          <w:tab w:val="center" w:pos="9498"/>
        </w:tabs>
        <w:ind w:right="45"/>
        <w:rPr>
          <w:rStyle w:val="txt"/>
          <w:rFonts w:eastAsia="Times New Roman" w:cs="Arial"/>
          <w:sz w:val="20"/>
          <w:szCs w:val="16"/>
        </w:rPr>
        <w:sectPr w:rsidR="00B515EF" w:rsidSect="0035172B">
          <w:endnotePr>
            <w:numFmt w:val="decimal"/>
          </w:endnotePr>
          <w:type w:val="continuous"/>
          <w:pgSz w:w="12240" w:h="15840"/>
          <w:pgMar w:top="378" w:right="720" w:bottom="720" w:left="720" w:header="137" w:footer="708" w:gutter="0"/>
          <w:cols w:num="2" w:space="360"/>
          <w:docGrid w:linePitch="360"/>
        </w:sectPr>
      </w:pPr>
    </w:p>
    <w:p w14:paraId="230BAD80" w14:textId="77777777" w:rsidR="00B515EF" w:rsidRDefault="00C37800" w:rsidP="00F16E5C">
      <w:pPr>
        <w:tabs>
          <w:tab w:val="center" w:pos="9498"/>
        </w:tabs>
        <w:ind w:right="45"/>
        <w:rPr>
          <w:rStyle w:val="txt"/>
          <w:rFonts w:eastAsia="Times New Roman" w:cs="Arial"/>
          <w:sz w:val="20"/>
          <w:szCs w:val="16"/>
        </w:rPr>
      </w:pPr>
      <w:r w:rsidRPr="00472EA7">
        <w:rPr>
          <w:rStyle w:val="txt"/>
          <w:rFonts w:eastAsia="Times New Roman" w:cs="Arial"/>
          <w:noProof/>
          <w:sz w:val="20"/>
          <w:szCs w:val="16"/>
          <w:lang w:eastAsia="fr-CA"/>
        </w:rPr>
        <mc:AlternateContent>
          <mc:Choice Requires="wps">
            <w:drawing>
              <wp:anchor distT="0" distB="0" distL="114300" distR="114300" simplePos="0" relativeHeight="251663360" behindDoc="0" locked="0" layoutInCell="1" allowOverlap="1" wp14:anchorId="3430B554" wp14:editId="4BA92FC8">
                <wp:simplePos x="0" y="0"/>
                <wp:positionH relativeFrom="column">
                  <wp:posOffset>333375</wp:posOffset>
                </wp:positionH>
                <wp:positionV relativeFrom="paragraph">
                  <wp:posOffset>2720340</wp:posOffset>
                </wp:positionV>
                <wp:extent cx="2400935" cy="314325"/>
                <wp:effectExtent l="0" t="0" r="0" b="952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314325"/>
                        </a:xfrm>
                        <a:prstGeom prst="rect">
                          <a:avLst/>
                        </a:prstGeom>
                        <a:solidFill>
                          <a:srgbClr val="FFFFFF"/>
                        </a:solidFill>
                        <a:ln w="9525">
                          <a:noFill/>
                          <a:miter lim="800000"/>
                          <a:headEnd/>
                          <a:tailEnd/>
                        </a:ln>
                      </wps:spPr>
                      <wps:txbx>
                        <w:txbxContent>
                          <w:p w14:paraId="0963C71F" w14:textId="75A687BA" w:rsidR="00C37800" w:rsidRPr="009C29E0" w:rsidRDefault="00C37800" w:rsidP="00C37800">
                            <w:pPr>
                              <w:jc w:val="center"/>
                              <w:rPr>
                                <w:b/>
                                <w:sz w:val="28"/>
                              </w:rPr>
                            </w:pPr>
                            <w:r>
                              <w:rPr>
                                <w:b/>
                                <w:sz w:val="28"/>
                              </w:rPr>
                              <w:t xml:space="preserve">Principaux termes </w:t>
                            </w:r>
                            <w:r w:rsidRPr="00E47B69">
                              <w:rPr>
                                <w:sz w:val="24"/>
                                <w:szCs w:val="24"/>
                              </w:rPr>
                              <w:t>≥ 20</w:t>
                            </w:r>
                            <w:r>
                              <w:rPr>
                                <w:sz w:val="24"/>
                                <w:szCs w:val="24"/>
                              </w:rPr>
                              <w:t>1</w:t>
                            </w:r>
                            <w:r w:rsidR="002D0321">
                              <w:rPr>
                                <w:sz w:val="24"/>
                                <w:szCs w:val="24"/>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30B554" id="_x0000_t202" coordsize="21600,21600" o:spt="202" path="m,l,21600r21600,l21600,xe">
                <v:stroke joinstyle="miter"/>
                <v:path gradientshapeok="t" o:connecttype="rect"/>
              </v:shapetype>
              <v:shape id="Zone de texte 2" o:spid="_x0000_s1026" type="#_x0000_t202" style="position:absolute;margin-left:26.25pt;margin-top:214.2pt;width:189.0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" stroked="f">
                <v:textbox>
                  <w:txbxContent>
                    <w:p w14:paraId="0963C71F" w14:textId="75A687BA" w:rsidR="00C37800" w:rsidRPr="009C29E0" w:rsidRDefault="00C37800" w:rsidP="00C37800">
                      <w:pPr>
                        <w:jc w:val="center"/>
                        <w:rPr>
                          <w:b/>
                          <w:sz w:val="28"/>
                        </w:rPr>
                      </w:pPr>
                      <w:r>
                        <w:rPr>
                          <w:b/>
                          <w:sz w:val="28"/>
                        </w:rPr>
                        <w:t xml:space="preserve">Principaux termes </w:t>
                      </w:r>
                      <w:r w:rsidRPr="00E47B69">
                        <w:rPr>
                          <w:sz w:val="24"/>
                          <w:szCs w:val="24"/>
                        </w:rPr>
                        <w:t>≥ 20</w:t>
                      </w:r>
                      <w:r>
                        <w:rPr>
                          <w:sz w:val="24"/>
                          <w:szCs w:val="24"/>
                        </w:rPr>
                        <w:t>1</w:t>
                      </w:r>
                      <w:r w:rsidR="002D0321">
                        <w:rPr>
                          <w:sz w:val="24"/>
                          <w:szCs w:val="24"/>
                        </w:rPr>
                        <w:t>7</w:t>
                      </w:r>
                    </w:p>
                  </w:txbxContent>
                </v:textbox>
              </v:shape>
            </w:pict>
          </mc:Fallback>
        </mc:AlternateContent>
      </w:r>
      <w:r w:rsidR="00B515EF" w:rsidRPr="00406A7E">
        <w:rPr>
          <w:noProof/>
          <w:color w:val="FFFFFF" w:themeColor="background1"/>
          <w:sz w:val="16"/>
          <w:lang w:eastAsia="fr-CA"/>
        </w:rPr>
        <w:drawing>
          <wp:inline distT="0" distB="0" distL="0" distR="0" wp14:anchorId="349AE473" wp14:editId="381771DB">
            <wp:extent cx="2949934" cy="2647785"/>
            <wp:effectExtent l="0" t="0" r="3175" b="635"/>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20BD641" w14:textId="77777777" w:rsidR="00B515EF" w:rsidRDefault="00EC06AB" w:rsidP="00F16E5C">
      <w:pPr>
        <w:tabs>
          <w:tab w:val="center" w:pos="9498"/>
        </w:tabs>
        <w:ind w:right="45"/>
        <w:rPr>
          <w:rStyle w:val="txt"/>
          <w:rFonts w:eastAsia="Times New Roman" w:cs="Arial"/>
          <w:sz w:val="20"/>
          <w:szCs w:val="16"/>
        </w:rPr>
        <w:sectPr w:rsidR="00B515EF" w:rsidSect="0035172B">
          <w:endnotePr>
            <w:numFmt w:val="decimal"/>
          </w:endnotePr>
          <w:type w:val="continuous"/>
          <w:pgSz w:w="12240" w:h="15840"/>
          <w:pgMar w:top="378" w:right="720" w:bottom="720" w:left="720" w:header="137" w:footer="708" w:gutter="0"/>
          <w:cols w:num="2" w:space="360"/>
          <w:docGrid w:linePitch="360"/>
        </w:sectPr>
      </w:pPr>
      <w:r w:rsidRPr="00472EA7">
        <w:rPr>
          <w:rStyle w:val="txt"/>
          <w:rFonts w:eastAsia="Times New Roman" w:cs="Arial"/>
          <w:noProof/>
          <w:sz w:val="20"/>
          <w:szCs w:val="16"/>
          <w:lang w:eastAsia="fr-CA"/>
        </w:rPr>
        <mc:AlternateContent>
          <mc:Choice Requires="wps">
            <w:drawing>
              <wp:anchor distT="0" distB="0" distL="114300" distR="114300" simplePos="0" relativeHeight="251659264" behindDoc="0" locked="0" layoutInCell="1" allowOverlap="1" wp14:anchorId="2BC8B61F" wp14:editId="4DFF8C3E">
                <wp:simplePos x="0" y="0"/>
                <wp:positionH relativeFrom="column">
                  <wp:posOffset>466725</wp:posOffset>
                </wp:positionH>
                <wp:positionV relativeFrom="paragraph">
                  <wp:posOffset>2739390</wp:posOffset>
                </wp:positionV>
                <wp:extent cx="2400935" cy="295275"/>
                <wp:effectExtent l="0" t="0" r="0"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295275"/>
                        </a:xfrm>
                        <a:prstGeom prst="rect">
                          <a:avLst/>
                        </a:prstGeom>
                        <a:solidFill>
                          <a:srgbClr val="FFFFFF"/>
                        </a:solidFill>
                        <a:ln w="9525">
                          <a:noFill/>
                          <a:miter lim="800000"/>
                          <a:headEnd/>
                          <a:tailEnd/>
                        </a:ln>
                      </wps:spPr>
                      <wps:txbx>
                        <w:txbxContent>
                          <w:p w14:paraId="08B0D9D7" w14:textId="13C7E845" w:rsidR="00472EA7" w:rsidRPr="009C29E0" w:rsidRDefault="00472EA7" w:rsidP="00472EA7">
                            <w:pPr>
                              <w:jc w:val="center"/>
                              <w:rPr>
                                <w:b/>
                                <w:sz w:val="28"/>
                              </w:rPr>
                            </w:pPr>
                            <w:r>
                              <w:rPr>
                                <w:b/>
                                <w:sz w:val="28"/>
                              </w:rPr>
                              <w:t>D</w:t>
                            </w:r>
                            <w:r w:rsidRPr="009C29E0">
                              <w:rPr>
                                <w:b/>
                                <w:sz w:val="28"/>
                              </w:rPr>
                              <w:t>isciplin</w:t>
                            </w:r>
                            <w:r>
                              <w:rPr>
                                <w:b/>
                                <w:sz w:val="28"/>
                              </w:rPr>
                              <w:t>e</w:t>
                            </w:r>
                            <w:r w:rsidRPr="009C29E0">
                              <w:rPr>
                                <w:b/>
                                <w:sz w:val="28"/>
                              </w:rPr>
                              <w:t>s</w:t>
                            </w:r>
                            <w:r w:rsidR="002F6187" w:rsidRPr="002F6187">
                              <w:rPr>
                                <w:sz w:val="28"/>
                                <w:vertAlign w:val="superscript"/>
                              </w:rPr>
                              <w:t>6</w:t>
                            </w:r>
                            <w:r>
                              <w:rPr>
                                <w:b/>
                                <w:sz w:val="28"/>
                              </w:rPr>
                              <w:t xml:space="preserve"> </w:t>
                            </w:r>
                            <w:r w:rsidRPr="00E47B69">
                              <w:rPr>
                                <w:sz w:val="24"/>
                                <w:szCs w:val="24"/>
                              </w:rPr>
                              <w:t>≥ 20</w:t>
                            </w:r>
                            <w:r w:rsidR="00862932">
                              <w:rPr>
                                <w:sz w:val="24"/>
                                <w:szCs w:val="24"/>
                              </w:rPr>
                              <w:t>1</w:t>
                            </w:r>
                            <w:r w:rsidR="002D0321">
                              <w:rPr>
                                <w:sz w:val="24"/>
                                <w:szCs w:val="24"/>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8B61F" id="_x0000_s1027" type="#_x0000_t202" style="position:absolute;margin-left:36.75pt;margin-top:215.7pt;width:189.0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" stroked="f">
                <v:textbox>
                  <w:txbxContent>
                    <w:p w14:paraId="08B0D9D7" w14:textId="13C7E845" w:rsidR="00472EA7" w:rsidRPr="009C29E0" w:rsidRDefault="00472EA7" w:rsidP="00472EA7">
                      <w:pPr>
                        <w:jc w:val="center"/>
                        <w:rPr>
                          <w:b/>
                          <w:sz w:val="28"/>
                        </w:rPr>
                      </w:pPr>
                      <w:r>
                        <w:rPr>
                          <w:b/>
                          <w:sz w:val="28"/>
                        </w:rPr>
                        <w:t>D</w:t>
                      </w:r>
                      <w:r w:rsidRPr="009C29E0">
                        <w:rPr>
                          <w:b/>
                          <w:sz w:val="28"/>
                        </w:rPr>
                        <w:t>isciplin</w:t>
                      </w:r>
                      <w:r>
                        <w:rPr>
                          <w:b/>
                          <w:sz w:val="28"/>
                        </w:rPr>
                        <w:t>e</w:t>
                      </w:r>
                      <w:r w:rsidRPr="009C29E0">
                        <w:rPr>
                          <w:b/>
                          <w:sz w:val="28"/>
                        </w:rPr>
                        <w:t>s</w:t>
                      </w:r>
                      <w:r w:rsidR="002F6187" w:rsidRPr="002F6187">
                        <w:rPr>
                          <w:sz w:val="28"/>
                          <w:vertAlign w:val="superscript"/>
                        </w:rPr>
                        <w:t>6</w:t>
                      </w:r>
                      <w:r>
                        <w:rPr>
                          <w:b/>
                          <w:sz w:val="28"/>
                        </w:rPr>
                        <w:t xml:space="preserve"> </w:t>
                      </w:r>
                      <w:r w:rsidRPr="00E47B69">
                        <w:rPr>
                          <w:sz w:val="24"/>
                          <w:szCs w:val="24"/>
                        </w:rPr>
                        <w:t>≥ 20</w:t>
                      </w:r>
                      <w:r w:rsidR="00862932">
                        <w:rPr>
                          <w:sz w:val="24"/>
                          <w:szCs w:val="24"/>
                        </w:rPr>
                        <w:t>1</w:t>
                      </w:r>
                      <w:r w:rsidR="002D0321">
                        <w:rPr>
                          <w:sz w:val="24"/>
                          <w:szCs w:val="24"/>
                        </w:rPr>
                        <w:t>7</w:t>
                      </w:r>
                    </w:p>
                  </w:txbxContent>
                </v:textbox>
              </v:shape>
            </w:pict>
          </mc:Fallback>
        </mc:AlternateContent>
      </w:r>
      <w:r w:rsidR="00B515EF">
        <w:rPr>
          <w:noProof/>
          <w:color w:val="FFFFFF" w:themeColor="background1"/>
          <w:lang w:eastAsia="fr-CA"/>
        </w:rPr>
        <w:drawing>
          <wp:inline distT="0" distB="0" distL="0" distR="0" wp14:anchorId="5FB3FD37" wp14:editId="535BDFAA">
            <wp:extent cx="3235960" cy="2647315"/>
            <wp:effectExtent l="0" t="0" r="2540" b="635"/>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B272B6A" w14:textId="7F392EC7" w:rsidR="00290BDD" w:rsidRDefault="00C37800" w:rsidP="00A42197">
      <w:pPr>
        <w:tabs>
          <w:tab w:val="left" w:pos="3120"/>
          <w:tab w:val="left" w:pos="3540"/>
          <w:tab w:val="left" w:pos="4248"/>
          <w:tab w:val="left" w:pos="4956"/>
          <w:tab w:val="left" w:pos="5664"/>
          <w:tab w:val="left" w:pos="7335"/>
        </w:tabs>
        <w:ind w:right="-399"/>
        <w:rPr>
          <w:rFonts w:eastAsia="Times New Roman" w:cs="Arial"/>
          <w:sz w:val="20"/>
          <w:szCs w:val="16"/>
        </w:rPr>
      </w:pPr>
      <w:r>
        <w:rPr>
          <w:rStyle w:val="txt"/>
          <w:rFonts w:eastAsia="Times New Roman" w:cs="Arial"/>
          <w:sz w:val="20"/>
          <w:szCs w:val="16"/>
        </w:rPr>
        <w:t xml:space="preserve">       </w:t>
      </w:r>
      <w:r w:rsidR="00EC06AB">
        <w:rPr>
          <w:rStyle w:val="txt"/>
          <w:rFonts w:eastAsia="Times New Roman" w:cs="Arial"/>
          <w:sz w:val="20"/>
          <w:szCs w:val="16"/>
        </w:rPr>
        <w:tab/>
      </w:r>
      <w:r w:rsidR="00EC06AB">
        <w:rPr>
          <w:rFonts w:eastAsia="Times New Roman" w:cs="Arial"/>
          <w:sz w:val="20"/>
          <w:szCs w:val="16"/>
        </w:rPr>
        <w:tab/>
      </w:r>
      <w:r w:rsidR="000B4B5A">
        <w:rPr>
          <w:rFonts w:eastAsia="Times New Roman" w:cs="Arial"/>
          <w:sz w:val="20"/>
          <w:szCs w:val="16"/>
        </w:rPr>
        <w:tab/>
      </w:r>
    </w:p>
    <w:tbl>
      <w:tblPr>
        <w:tblStyle w:val="Grilledutableau"/>
        <w:tblW w:w="0" w:type="auto"/>
        <w:tblLook w:val="04A0" w:firstRow="1" w:lastRow="0" w:firstColumn="1" w:lastColumn="0" w:noHBand="0" w:noVBand="1"/>
      </w:tblPr>
      <w:tblGrid>
        <w:gridCol w:w="5395"/>
        <w:gridCol w:w="5395"/>
      </w:tblGrid>
      <w:tr w:rsidR="00563061" w14:paraId="1AF7CB23" w14:textId="77777777" w:rsidTr="00563061">
        <w:tc>
          <w:tcPr>
            <w:tcW w:w="5395" w:type="dxa"/>
          </w:tcPr>
          <w:p w14:paraId="3DB3303D" w14:textId="77777777" w:rsidR="00563061" w:rsidRDefault="00563061" w:rsidP="00563061">
            <w:pPr>
              <w:tabs>
                <w:tab w:val="left" w:pos="3120"/>
              </w:tabs>
              <w:jc w:val="center"/>
              <w:rPr>
                <w:rFonts w:eastAsia="Times New Roman" w:cs="Arial"/>
                <w:sz w:val="20"/>
                <w:szCs w:val="16"/>
              </w:rPr>
            </w:pPr>
            <w:r>
              <w:rPr>
                <w:rFonts w:eastAsia="Times New Roman" w:cs="Arial"/>
                <w:sz w:val="20"/>
                <w:szCs w:val="16"/>
              </w:rPr>
              <w:br w:type="page"/>
            </w:r>
          </w:p>
          <w:p w14:paraId="03166CE9" w14:textId="7A732BA9" w:rsidR="00563061" w:rsidRDefault="00AA7CAF" w:rsidP="006D17EC">
            <w:pPr>
              <w:tabs>
                <w:tab w:val="left" w:pos="3120"/>
              </w:tabs>
              <w:jc w:val="center"/>
              <w:rPr>
                <w:rFonts w:eastAsia="Times New Roman" w:cs="Arial"/>
                <w:sz w:val="20"/>
                <w:szCs w:val="16"/>
              </w:rPr>
            </w:pPr>
            <w:r>
              <w:rPr>
                <w:rFonts w:eastAsia="Times New Roman" w:cs="Arial"/>
                <w:noProof/>
                <w:sz w:val="20"/>
                <w:szCs w:val="16"/>
              </w:rPr>
              <w:drawing>
                <wp:inline distT="0" distB="0" distL="0" distR="0" wp14:anchorId="2F5EF2D3" wp14:editId="771C44FA">
                  <wp:extent cx="914400" cy="914400"/>
                  <wp:effectExtent l="0" t="0" r="0" b="0"/>
                  <wp:docPr id="3" name="Graphique 3" descr="Soleil part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ialsun.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p>
        </w:tc>
        <w:tc>
          <w:tcPr>
            <w:tcW w:w="5395" w:type="dxa"/>
          </w:tcPr>
          <w:p w14:paraId="6E82FAFE" w14:textId="77777777" w:rsidR="00563061" w:rsidRDefault="00563061" w:rsidP="00563061">
            <w:pPr>
              <w:tabs>
                <w:tab w:val="left" w:pos="3120"/>
              </w:tabs>
              <w:jc w:val="center"/>
              <w:rPr>
                <w:rFonts w:eastAsia="Times New Roman" w:cs="Arial"/>
                <w:sz w:val="20"/>
                <w:szCs w:val="16"/>
              </w:rPr>
            </w:pPr>
          </w:p>
          <w:p w14:paraId="0E5CD8DA" w14:textId="395E4DA3" w:rsidR="00563061" w:rsidRDefault="00AA7CAF" w:rsidP="00563061">
            <w:pPr>
              <w:tabs>
                <w:tab w:val="left" w:pos="3120"/>
              </w:tabs>
              <w:jc w:val="center"/>
              <w:rPr>
                <w:rFonts w:eastAsia="Times New Roman" w:cs="Arial"/>
                <w:sz w:val="20"/>
                <w:szCs w:val="16"/>
              </w:rPr>
            </w:pPr>
            <w:r>
              <w:rPr>
                <w:rFonts w:eastAsia="Times New Roman" w:cs="Arial"/>
                <w:noProof/>
                <w:sz w:val="20"/>
                <w:szCs w:val="16"/>
              </w:rPr>
              <w:drawing>
                <wp:inline distT="0" distB="0" distL="0" distR="0" wp14:anchorId="71D53FC0" wp14:editId="0FC0EACF">
                  <wp:extent cx="914400" cy="914400"/>
                  <wp:effectExtent l="0" t="0" r="0" b="0"/>
                  <wp:docPr id="2" name="Graphique 2" descr="Sect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p>
        </w:tc>
      </w:tr>
    </w:tbl>
    <w:p w14:paraId="047ACEF4" w14:textId="7B5E8A67" w:rsidR="00D61230" w:rsidRDefault="00D61230" w:rsidP="00D61230">
      <w:pPr>
        <w:tabs>
          <w:tab w:val="left" w:pos="3120"/>
          <w:tab w:val="left" w:pos="4865"/>
          <w:tab w:val="center" w:pos="5400"/>
        </w:tabs>
        <w:rPr>
          <w:rFonts w:eastAsia="Times New Roman" w:cs="Arial"/>
          <w:sz w:val="20"/>
          <w:szCs w:val="16"/>
        </w:rPr>
      </w:pPr>
      <w:r>
        <w:rPr>
          <w:rFonts w:eastAsia="Times New Roman" w:cs="Arial"/>
          <w:sz w:val="20"/>
          <w:szCs w:val="16"/>
        </w:rPr>
        <w:tab/>
      </w:r>
      <w:r>
        <w:rPr>
          <w:rFonts w:eastAsia="Times New Roman" w:cs="Arial"/>
          <w:sz w:val="20"/>
          <w:szCs w:val="16"/>
        </w:rPr>
        <w:tab/>
      </w:r>
      <w:r>
        <w:rPr>
          <w:rFonts w:eastAsia="Times New Roman" w:cs="Arial"/>
          <w:sz w:val="20"/>
          <w:szCs w:val="16"/>
        </w:rPr>
        <w:tab/>
      </w:r>
    </w:p>
    <w:p w14:paraId="6623E7E6" w14:textId="77777777" w:rsidR="00563061" w:rsidRPr="00D61230" w:rsidRDefault="00563061" w:rsidP="00D61230">
      <w:pPr>
        <w:rPr>
          <w:rFonts w:eastAsia="Times New Roman" w:cs="Arial"/>
          <w:sz w:val="20"/>
          <w:szCs w:val="16"/>
        </w:rPr>
        <w:sectPr w:rsidR="00563061" w:rsidRPr="00D61230" w:rsidSect="00B515EF">
          <w:endnotePr>
            <w:numFmt w:val="decimal"/>
          </w:endnotePr>
          <w:type w:val="continuous"/>
          <w:pgSz w:w="12240" w:h="15840"/>
          <w:pgMar w:top="378" w:right="720" w:bottom="720" w:left="720" w:header="137" w:footer="708" w:gutter="0"/>
          <w:cols w:space="708"/>
          <w:docGrid w:linePitch="360"/>
        </w:sectPr>
      </w:pPr>
    </w:p>
    <w:p w14:paraId="4FA083DC" w14:textId="6AF0360D" w:rsidR="009100FC" w:rsidRPr="002D24DF" w:rsidRDefault="002D24DF" w:rsidP="00F16E5C">
      <w:pPr>
        <w:tabs>
          <w:tab w:val="center" w:pos="9498"/>
        </w:tabs>
        <w:spacing w:after="0" w:line="240" w:lineRule="auto"/>
        <w:ind w:left="-851" w:right="45"/>
        <w:jc w:val="center"/>
        <w:rPr>
          <w:rStyle w:val="txt"/>
          <w:rFonts w:eastAsia="Times New Roman" w:cs="Arial"/>
          <w:b/>
          <w:sz w:val="24"/>
          <w:szCs w:val="24"/>
        </w:rPr>
      </w:pPr>
      <w:r w:rsidRPr="002D24DF">
        <w:rPr>
          <w:rStyle w:val="txt"/>
          <w:rFonts w:eastAsia="Times New Roman" w:cs="Arial"/>
          <w:b/>
          <w:sz w:val="24"/>
          <w:szCs w:val="24"/>
        </w:rPr>
        <w:lastRenderedPageBreak/>
        <w:t>Faits saillants</w:t>
      </w:r>
    </w:p>
    <w:p w14:paraId="1C568996" w14:textId="3EE8F285"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09ACA68C" w14:textId="3F7DEE40"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5D29D93A" w14:textId="297F66F4"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179D732A" w14:textId="0E57C18A"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57A89636" w14:textId="79976F9A"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41A16CEB" w14:textId="03D4FADB"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1CA85AB5" w14:textId="01AC9F9C"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5673CC95" w14:textId="337C50B7"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43314C21" w14:textId="55426B0C"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70119C20" w14:textId="6E9F5F9F"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73245B75" w14:textId="54D58BB7"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1F5DE132" w14:textId="6F94FC59"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41A1E395" w14:textId="7AA4B1B4"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1B4239C8" w14:textId="56AF7D01"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255B76EB" w14:textId="40EDC9E5"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7D673CB1" w14:textId="77777777"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653D714A" w14:textId="01300EF6"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2BBA9623" w14:textId="301E7AFC"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1C60D25B" w14:textId="49729CC0"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4CF44FF9" w14:textId="53ACD9EC"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2931241A" w14:textId="5D42CC77"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66AAD4F5" w14:textId="42B8B224"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4296E193" w14:textId="31589DB8"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2FA7631A" w14:textId="4391AC52" w:rsidR="002D24DF" w:rsidRDefault="002D24DF" w:rsidP="00F16E5C">
      <w:pPr>
        <w:tabs>
          <w:tab w:val="center" w:pos="9498"/>
        </w:tabs>
        <w:spacing w:after="0" w:line="240" w:lineRule="auto"/>
        <w:ind w:left="-851" w:right="45"/>
        <w:jc w:val="center"/>
        <w:rPr>
          <w:rStyle w:val="txt"/>
          <w:rFonts w:eastAsia="Times New Roman" w:cs="Arial"/>
          <w:b/>
          <w:sz w:val="18"/>
          <w:szCs w:val="16"/>
        </w:rPr>
      </w:pPr>
    </w:p>
    <w:p w14:paraId="468C9164" w14:textId="77777777" w:rsidR="002D24DF" w:rsidRPr="001357BE" w:rsidRDefault="002D24DF" w:rsidP="00F16E5C">
      <w:pPr>
        <w:tabs>
          <w:tab w:val="center" w:pos="9498"/>
        </w:tabs>
        <w:spacing w:after="0" w:line="240" w:lineRule="auto"/>
        <w:ind w:left="-851" w:right="45"/>
        <w:jc w:val="center"/>
        <w:rPr>
          <w:rStyle w:val="txt"/>
          <w:rFonts w:eastAsia="Times New Roman" w:cs="Arial"/>
          <w:b/>
          <w:sz w:val="18"/>
          <w:szCs w:val="16"/>
        </w:rPr>
      </w:pPr>
    </w:p>
    <w:p w14:paraId="0A705411" w14:textId="77777777" w:rsidR="00F16E5C" w:rsidRDefault="00F16E5C" w:rsidP="00F16E5C">
      <w:pPr>
        <w:tabs>
          <w:tab w:val="center" w:pos="9498"/>
        </w:tabs>
        <w:spacing w:after="0" w:line="240" w:lineRule="auto"/>
        <w:ind w:left="-851" w:right="45"/>
        <w:jc w:val="center"/>
        <w:rPr>
          <w:rStyle w:val="txt"/>
          <w:rFonts w:eastAsia="Times New Roman" w:cs="Arial"/>
          <w:b/>
          <w:sz w:val="18"/>
          <w:szCs w:val="16"/>
        </w:rPr>
      </w:pPr>
      <w:r>
        <w:rPr>
          <w:rStyle w:val="txt"/>
          <w:rFonts w:eastAsia="Times New Roman" w:cs="Arial"/>
          <w:b/>
          <w:sz w:val="18"/>
          <w:szCs w:val="16"/>
        </w:rPr>
        <w:t>__________________________________________________________________</w:t>
      </w:r>
    </w:p>
    <w:p w14:paraId="1255CE4B" w14:textId="77777777" w:rsidR="00F16E5C" w:rsidRPr="009B277D" w:rsidRDefault="00F16E5C" w:rsidP="00F16E5C">
      <w:pPr>
        <w:tabs>
          <w:tab w:val="center" w:pos="9498"/>
        </w:tabs>
        <w:spacing w:before="120" w:after="120"/>
        <w:ind w:left="-851" w:right="45"/>
        <w:jc w:val="center"/>
        <w:rPr>
          <w:rStyle w:val="txt"/>
          <w:rFonts w:eastAsia="Times New Roman" w:cs="Arial"/>
          <w:sz w:val="24"/>
          <w:szCs w:val="16"/>
        </w:rPr>
      </w:pPr>
      <w:r w:rsidRPr="009B277D">
        <w:rPr>
          <w:rStyle w:val="txt"/>
          <w:rFonts w:eastAsia="Times New Roman" w:cs="Arial"/>
          <w:b/>
          <w:sz w:val="24"/>
          <w:szCs w:val="16"/>
        </w:rPr>
        <w:t>Notes explicatives</w:t>
      </w:r>
    </w:p>
    <w:tbl>
      <w:tblPr>
        <w:tblStyle w:val="Grilledutableau"/>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91"/>
      </w:tblGrid>
      <w:tr w:rsidR="00E7773C" w14:paraId="5FB251E1" w14:textId="77777777" w:rsidTr="008D2851">
        <w:trPr>
          <w:trHeight w:val="276"/>
        </w:trPr>
        <w:tc>
          <w:tcPr>
            <w:tcW w:w="709" w:type="dxa"/>
          </w:tcPr>
          <w:p w14:paraId="1F877C91" w14:textId="56FC1A13" w:rsidR="00E7773C" w:rsidRDefault="00E7773C" w:rsidP="007B60A5">
            <w:pPr>
              <w:tabs>
                <w:tab w:val="center" w:pos="9498"/>
              </w:tabs>
              <w:spacing w:after="60"/>
              <w:ind w:right="45"/>
              <w:rPr>
                <w:rStyle w:val="txt"/>
                <w:rFonts w:eastAsia="Times New Roman" w:cs="Arial"/>
                <w:sz w:val="18"/>
                <w:szCs w:val="16"/>
              </w:rPr>
            </w:pPr>
            <w:r>
              <w:rPr>
                <w:rStyle w:val="txt"/>
                <w:rFonts w:eastAsia="Times New Roman" w:cs="Arial"/>
                <w:sz w:val="18"/>
                <w:szCs w:val="16"/>
              </w:rPr>
              <w:t>1</w:t>
            </w:r>
          </w:p>
        </w:tc>
        <w:tc>
          <w:tcPr>
            <w:tcW w:w="10091" w:type="dxa"/>
          </w:tcPr>
          <w:p w14:paraId="2BC27FEC" w14:textId="2F1B3A3B" w:rsidR="00E7773C" w:rsidRPr="00EC3D1A" w:rsidRDefault="00E7773C" w:rsidP="00E679A8">
            <w:pPr>
              <w:tabs>
                <w:tab w:val="center" w:pos="9498"/>
              </w:tabs>
              <w:spacing w:after="60"/>
              <w:ind w:right="45"/>
              <w:jc w:val="both"/>
              <w:rPr>
                <w:rStyle w:val="txt"/>
                <w:rFonts w:eastAsia="Times New Roman" w:cs="Arial"/>
                <w:sz w:val="16"/>
                <w:szCs w:val="16"/>
              </w:rPr>
            </w:pPr>
            <w:r w:rsidRPr="00A0395B">
              <w:rPr>
                <w:rStyle w:val="txt"/>
                <w:rFonts w:eastAsia="Times New Roman" w:cs="Arial"/>
                <w:sz w:val="16"/>
                <w:szCs w:val="16"/>
              </w:rPr>
              <w:t>La MCR (moyenne de citations relatives) est pondérée selon les domaines. Une MCR &gt;1 indique un taux de citations au-dessus de la moyenne ; par exemple une MCR de 1,21 indique un taux 21% supérieur à la moyenne mondiale.</w:t>
            </w:r>
            <w:r>
              <w:rPr>
                <w:rStyle w:val="txt"/>
                <w:rFonts w:eastAsia="Times New Roman" w:cs="Arial"/>
                <w:sz w:val="16"/>
                <w:szCs w:val="16"/>
              </w:rPr>
              <w:t xml:space="preserve">  </w:t>
            </w:r>
          </w:p>
        </w:tc>
      </w:tr>
      <w:tr w:rsidR="00E7773C" w14:paraId="7B43DDCF" w14:textId="77777777" w:rsidTr="008D2851">
        <w:trPr>
          <w:trHeight w:val="276"/>
        </w:trPr>
        <w:tc>
          <w:tcPr>
            <w:tcW w:w="709" w:type="dxa"/>
          </w:tcPr>
          <w:p w14:paraId="1DA91DEF" w14:textId="75A1391E" w:rsidR="00E7773C" w:rsidRDefault="00E7773C" w:rsidP="00E7773C">
            <w:pPr>
              <w:tabs>
                <w:tab w:val="center" w:pos="9498"/>
              </w:tabs>
              <w:spacing w:after="60"/>
              <w:ind w:right="45"/>
              <w:rPr>
                <w:rStyle w:val="txt"/>
                <w:rFonts w:eastAsia="Times New Roman" w:cs="Arial"/>
                <w:sz w:val="18"/>
                <w:szCs w:val="16"/>
              </w:rPr>
            </w:pPr>
            <w:r>
              <w:rPr>
                <w:rStyle w:val="txt"/>
                <w:rFonts w:eastAsia="Times New Roman" w:cs="Arial"/>
                <w:sz w:val="18"/>
                <w:szCs w:val="16"/>
              </w:rPr>
              <w:t>2</w:t>
            </w:r>
          </w:p>
        </w:tc>
        <w:tc>
          <w:tcPr>
            <w:tcW w:w="10091" w:type="dxa"/>
          </w:tcPr>
          <w:p w14:paraId="7BEE2D11" w14:textId="5205FB39" w:rsidR="00E7773C" w:rsidRPr="00A0395B" w:rsidRDefault="00E7773C" w:rsidP="00E7773C">
            <w:pPr>
              <w:tabs>
                <w:tab w:val="center" w:pos="9498"/>
              </w:tabs>
              <w:spacing w:after="60"/>
              <w:ind w:right="45"/>
              <w:jc w:val="both"/>
              <w:rPr>
                <w:rStyle w:val="txt"/>
                <w:rFonts w:eastAsia="Times New Roman" w:cs="Arial"/>
                <w:sz w:val="16"/>
                <w:szCs w:val="16"/>
              </w:rPr>
            </w:pPr>
            <w:r w:rsidRPr="00EC3D1A">
              <w:rPr>
                <w:rStyle w:val="txt"/>
                <w:rFonts w:eastAsia="Times New Roman" w:cs="Arial"/>
                <w:sz w:val="16"/>
                <w:szCs w:val="16"/>
              </w:rPr>
              <w:t>Les publications pour lesquelles le professeur est l’unique auteur</w:t>
            </w:r>
            <w:r>
              <w:rPr>
                <w:rStyle w:val="txt"/>
                <w:rFonts w:eastAsia="Times New Roman" w:cs="Arial"/>
                <w:sz w:val="16"/>
                <w:szCs w:val="16"/>
              </w:rPr>
              <w:t>, s’il y en a,</w:t>
            </w:r>
            <w:r w:rsidRPr="00EC3D1A">
              <w:rPr>
                <w:rStyle w:val="txt"/>
                <w:rFonts w:eastAsia="Times New Roman" w:cs="Arial"/>
                <w:sz w:val="16"/>
                <w:szCs w:val="16"/>
              </w:rPr>
              <w:t xml:space="preserve"> sont comptabili</w:t>
            </w:r>
            <w:r>
              <w:rPr>
                <w:rStyle w:val="txt"/>
                <w:rFonts w:eastAsia="Times New Roman" w:cs="Arial"/>
                <w:sz w:val="16"/>
                <w:szCs w:val="16"/>
              </w:rPr>
              <w:t>s</w:t>
            </w:r>
            <w:r w:rsidRPr="00EC3D1A">
              <w:rPr>
                <w:rStyle w:val="txt"/>
                <w:rFonts w:eastAsia="Times New Roman" w:cs="Arial"/>
                <w:sz w:val="16"/>
                <w:szCs w:val="16"/>
              </w:rPr>
              <w:t>é</w:t>
            </w:r>
            <w:r w:rsidR="00813A92">
              <w:rPr>
                <w:rStyle w:val="txt"/>
                <w:rFonts w:eastAsia="Times New Roman" w:cs="Arial"/>
                <w:sz w:val="16"/>
                <w:szCs w:val="16"/>
              </w:rPr>
              <w:t>e</w:t>
            </w:r>
            <w:r>
              <w:rPr>
                <w:rStyle w:val="txt"/>
                <w:rFonts w:eastAsia="Times New Roman" w:cs="Arial"/>
                <w:sz w:val="16"/>
                <w:szCs w:val="16"/>
              </w:rPr>
              <w:t>s</w:t>
            </w:r>
            <w:r w:rsidRPr="00EC3D1A">
              <w:rPr>
                <w:rStyle w:val="txt"/>
                <w:rFonts w:eastAsia="Times New Roman" w:cs="Arial"/>
                <w:sz w:val="16"/>
                <w:szCs w:val="16"/>
              </w:rPr>
              <w:t xml:space="preserve"> dans l’ensemble 1er auteur.</w:t>
            </w:r>
          </w:p>
        </w:tc>
      </w:tr>
      <w:tr w:rsidR="00F16E5C" w14:paraId="7ACC1CA5" w14:textId="77777777" w:rsidTr="008D2851">
        <w:tc>
          <w:tcPr>
            <w:tcW w:w="709" w:type="dxa"/>
          </w:tcPr>
          <w:p w14:paraId="37A8BCFA" w14:textId="07230F5E" w:rsidR="00F16E5C" w:rsidRPr="0066709A" w:rsidRDefault="008D2851" w:rsidP="007B60A5">
            <w:pPr>
              <w:tabs>
                <w:tab w:val="center" w:pos="9498"/>
              </w:tabs>
              <w:spacing w:after="60"/>
              <w:ind w:right="45"/>
              <w:rPr>
                <w:rStyle w:val="txt"/>
                <w:rFonts w:eastAsia="Times New Roman" w:cs="Arial"/>
                <w:sz w:val="18"/>
                <w:szCs w:val="16"/>
              </w:rPr>
            </w:pPr>
            <w:r>
              <w:rPr>
                <w:rStyle w:val="txt"/>
                <w:rFonts w:eastAsia="Times New Roman" w:cs="Arial"/>
                <w:sz w:val="18"/>
                <w:szCs w:val="16"/>
              </w:rPr>
              <w:t>3</w:t>
            </w:r>
          </w:p>
        </w:tc>
        <w:tc>
          <w:tcPr>
            <w:tcW w:w="10091" w:type="dxa"/>
          </w:tcPr>
          <w:p w14:paraId="5F668368" w14:textId="041B4101" w:rsidR="00F16E5C" w:rsidRPr="00A0395B" w:rsidRDefault="00E679A8" w:rsidP="007B60A5">
            <w:pPr>
              <w:tabs>
                <w:tab w:val="center" w:pos="9498"/>
              </w:tabs>
              <w:spacing w:after="60"/>
              <w:ind w:right="45"/>
              <w:jc w:val="both"/>
              <w:rPr>
                <w:rStyle w:val="txt"/>
                <w:rFonts w:eastAsia="Times New Roman" w:cs="Arial"/>
                <w:sz w:val="16"/>
                <w:szCs w:val="16"/>
              </w:rPr>
            </w:pPr>
            <w:r w:rsidRPr="00A0395B">
              <w:rPr>
                <w:rStyle w:val="txt"/>
                <w:rFonts w:eastAsia="Times New Roman" w:cs="Arial"/>
                <w:sz w:val="16"/>
                <w:szCs w:val="16"/>
              </w:rPr>
              <w:t>Les bases de données bibliométriques, telles que Scopus, ne répertorient pas toutes les publications et se limitent généralement aux revues et conférences ayant un rayonnement international.</w:t>
            </w:r>
            <w:r w:rsidR="00CC7CB3">
              <w:rPr>
                <w:rStyle w:val="txt"/>
                <w:rFonts w:eastAsia="Times New Roman" w:cs="Arial"/>
                <w:sz w:val="16"/>
                <w:szCs w:val="16"/>
              </w:rPr>
              <w:t xml:space="preserve"> </w:t>
            </w:r>
            <w:r w:rsidR="00CC7CB3" w:rsidRPr="00632C1E">
              <w:rPr>
                <w:rStyle w:val="txt"/>
                <w:rFonts w:eastAsia="Times New Roman" w:cs="Arial"/>
                <w:sz w:val="16"/>
                <w:szCs w:val="16"/>
              </w:rPr>
              <w:t>La série « Articles » inclut les documents de types « article » et « article de synthèse ».  La série « Autres » inclu</w:t>
            </w:r>
            <w:r w:rsidR="00CC7CB3">
              <w:rPr>
                <w:rStyle w:val="txt"/>
                <w:rFonts w:eastAsia="Times New Roman" w:cs="Arial"/>
                <w:sz w:val="16"/>
                <w:szCs w:val="16"/>
              </w:rPr>
              <w:t>t</w:t>
            </w:r>
            <w:r w:rsidR="00CC7CB3" w:rsidRPr="00632C1E">
              <w:rPr>
                <w:rStyle w:val="txt"/>
                <w:rFonts w:eastAsia="Times New Roman" w:cs="Arial"/>
                <w:sz w:val="16"/>
                <w:szCs w:val="16"/>
              </w:rPr>
              <w:t xml:space="preserve"> des documents de types « livre »</w:t>
            </w:r>
            <w:r w:rsidR="00CC7CB3">
              <w:rPr>
                <w:rStyle w:val="txt"/>
                <w:rFonts w:eastAsia="Times New Roman" w:cs="Arial"/>
                <w:sz w:val="16"/>
                <w:szCs w:val="16"/>
              </w:rPr>
              <w:t>,</w:t>
            </w:r>
            <w:r w:rsidR="00CC7CB3" w:rsidRPr="00632C1E">
              <w:rPr>
                <w:rStyle w:val="txt"/>
                <w:rFonts w:eastAsia="Times New Roman" w:cs="Arial"/>
                <w:sz w:val="16"/>
                <w:szCs w:val="16"/>
              </w:rPr>
              <w:t xml:space="preserve"> « chapitre de livre »</w:t>
            </w:r>
            <w:r w:rsidR="00CC7CB3">
              <w:rPr>
                <w:rStyle w:val="txt"/>
                <w:rFonts w:eastAsia="Times New Roman" w:cs="Arial"/>
                <w:sz w:val="16"/>
                <w:szCs w:val="16"/>
              </w:rPr>
              <w:t xml:space="preserve"> et « éditorial ».</w:t>
            </w:r>
          </w:p>
        </w:tc>
      </w:tr>
      <w:tr w:rsidR="00E7773C" w14:paraId="6B49175C" w14:textId="77777777" w:rsidTr="008D2851">
        <w:tc>
          <w:tcPr>
            <w:tcW w:w="709" w:type="dxa"/>
          </w:tcPr>
          <w:p w14:paraId="5B648FC3" w14:textId="46FD37ED" w:rsidR="00E7773C" w:rsidRDefault="00E7773C" w:rsidP="007B60A5">
            <w:pPr>
              <w:tabs>
                <w:tab w:val="center" w:pos="9498"/>
              </w:tabs>
              <w:spacing w:after="60"/>
              <w:ind w:right="45"/>
              <w:rPr>
                <w:rStyle w:val="txt"/>
                <w:rFonts w:eastAsia="Times New Roman" w:cs="Arial"/>
                <w:sz w:val="18"/>
                <w:szCs w:val="16"/>
              </w:rPr>
            </w:pPr>
            <w:r>
              <w:rPr>
                <w:rStyle w:val="txt"/>
                <w:rFonts w:eastAsia="Times New Roman" w:cs="Arial"/>
                <w:sz w:val="18"/>
                <w:szCs w:val="16"/>
              </w:rPr>
              <w:t>4</w:t>
            </w:r>
          </w:p>
        </w:tc>
        <w:tc>
          <w:tcPr>
            <w:tcW w:w="10091" w:type="dxa"/>
          </w:tcPr>
          <w:p w14:paraId="3BEC175D" w14:textId="6E1216AF" w:rsidR="00E7773C" w:rsidRPr="00A0395B" w:rsidRDefault="00E7773C" w:rsidP="007B60A5">
            <w:pPr>
              <w:tabs>
                <w:tab w:val="center" w:pos="9498"/>
              </w:tabs>
              <w:spacing w:after="60"/>
              <w:ind w:right="45"/>
              <w:jc w:val="both"/>
              <w:rPr>
                <w:rStyle w:val="txt"/>
                <w:rFonts w:eastAsia="Times New Roman" w:cs="Arial"/>
                <w:sz w:val="16"/>
                <w:szCs w:val="16"/>
              </w:rPr>
            </w:pPr>
            <w:r w:rsidRPr="00B10799">
              <w:rPr>
                <w:rStyle w:val="txt"/>
                <w:rFonts w:eastAsia="Times New Roman" w:cs="Arial"/>
                <w:sz w:val="16"/>
                <w:szCs w:val="16"/>
              </w:rPr>
              <w:t>Les totaux indiqués dans ce graphique correspondent aux derniers chiffres disponibles au moment d'extraire les données.  Ces données tendent à évoluer dans le temps, les données de la dernière année disponible et de l’année en cours sont particulièrement sujettes à des variations. Les pointillés indiquent des années pour lesquelles les données sont incomplètes.</w:t>
            </w:r>
          </w:p>
        </w:tc>
      </w:tr>
      <w:tr w:rsidR="00F16E5C" w14:paraId="1FA705FE" w14:textId="77777777" w:rsidTr="008D2851">
        <w:tc>
          <w:tcPr>
            <w:tcW w:w="709" w:type="dxa"/>
          </w:tcPr>
          <w:p w14:paraId="0373ED6A" w14:textId="61DBF6C5" w:rsidR="00F16E5C" w:rsidRDefault="00E7773C" w:rsidP="007B60A5">
            <w:pPr>
              <w:tabs>
                <w:tab w:val="center" w:pos="9498"/>
              </w:tabs>
              <w:spacing w:after="60"/>
              <w:ind w:right="45"/>
              <w:rPr>
                <w:rStyle w:val="txt"/>
                <w:rFonts w:eastAsia="Times New Roman" w:cs="Arial"/>
                <w:sz w:val="18"/>
                <w:szCs w:val="16"/>
              </w:rPr>
            </w:pPr>
            <w:r>
              <w:rPr>
                <w:rStyle w:val="txt"/>
                <w:rFonts w:eastAsia="Times New Roman" w:cs="Arial"/>
                <w:sz w:val="18"/>
                <w:szCs w:val="16"/>
              </w:rPr>
              <w:t>5</w:t>
            </w:r>
          </w:p>
          <w:p w14:paraId="1167BE92" w14:textId="77777777" w:rsidR="00F16E5C" w:rsidRPr="00CB2060" w:rsidRDefault="00F16E5C" w:rsidP="007B60A5">
            <w:pPr>
              <w:rPr>
                <w:rFonts w:eastAsia="Times New Roman" w:cs="Arial"/>
                <w:sz w:val="18"/>
                <w:szCs w:val="16"/>
              </w:rPr>
            </w:pPr>
          </w:p>
        </w:tc>
        <w:tc>
          <w:tcPr>
            <w:tcW w:w="10091" w:type="dxa"/>
          </w:tcPr>
          <w:p w14:paraId="5406B051" w14:textId="2A5F736B" w:rsidR="00F16E5C" w:rsidRPr="00A0395B" w:rsidRDefault="00404140" w:rsidP="007B60A5">
            <w:pPr>
              <w:tabs>
                <w:tab w:val="center" w:pos="9498"/>
              </w:tabs>
              <w:spacing w:after="60"/>
              <w:ind w:right="45"/>
              <w:jc w:val="both"/>
              <w:rPr>
                <w:rStyle w:val="txt"/>
                <w:rFonts w:eastAsia="Times New Roman" w:cs="Arial"/>
                <w:sz w:val="16"/>
                <w:szCs w:val="16"/>
              </w:rPr>
            </w:pPr>
            <w:r w:rsidRPr="00A0395B">
              <w:rPr>
                <w:rStyle w:val="txt"/>
                <w:rFonts w:eastAsia="Times New Roman" w:cs="Arial"/>
                <w:sz w:val="16"/>
                <w:szCs w:val="16"/>
              </w:rPr>
              <w:t xml:space="preserve">Le </w:t>
            </w:r>
            <w:r w:rsidRPr="00A0395B">
              <w:rPr>
                <w:rStyle w:val="txt"/>
                <w:rFonts w:eastAsia="Times New Roman" w:cs="Arial"/>
                <w:i/>
                <w:sz w:val="16"/>
                <w:szCs w:val="16"/>
              </w:rPr>
              <w:t xml:space="preserve">Source </w:t>
            </w:r>
            <w:proofErr w:type="spellStart"/>
            <w:r w:rsidRPr="00A0395B">
              <w:rPr>
                <w:rStyle w:val="txt"/>
                <w:rFonts w:eastAsia="Times New Roman" w:cs="Arial"/>
                <w:i/>
                <w:sz w:val="16"/>
                <w:szCs w:val="16"/>
              </w:rPr>
              <w:t>Normalized</w:t>
            </w:r>
            <w:proofErr w:type="spellEnd"/>
            <w:r w:rsidRPr="00A0395B">
              <w:rPr>
                <w:rStyle w:val="txt"/>
                <w:rFonts w:eastAsia="Times New Roman" w:cs="Arial"/>
                <w:i/>
                <w:sz w:val="16"/>
                <w:szCs w:val="16"/>
              </w:rPr>
              <w:t xml:space="preserve"> Impact per Paper</w:t>
            </w:r>
            <w:r w:rsidRPr="00A0395B">
              <w:rPr>
                <w:rStyle w:val="txt"/>
                <w:rFonts w:eastAsia="Times New Roman" w:cs="Arial"/>
                <w:sz w:val="16"/>
                <w:szCs w:val="16"/>
              </w:rPr>
              <w:t xml:space="preserve"> (SNIP) est un facteur d’impact pondéré par discipline. Il permet de mieux comparer les revues entre elles, car son calcul tient compte des différentes pratiques de citations d’articles selon des domaines d’étude des revues.  Le SNIP est l’indicateur </w:t>
            </w:r>
            <w:r w:rsidR="009100FC">
              <w:rPr>
                <w:rStyle w:val="txt"/>
                <w:rFonts w:eastAsia="Times New Roman" w:cs="Arial"/>
                <w:sz w:val="16"/>
                <w:szCs w:val="16"/>
              </w:rPr>
              <w:t>de performance</w:t>
            </w:r>
            <w:r w:rsidR="009100FC" w:rsidRPr="00A0395B">
              <w:rPr>
                <w:rStyle w:val="txt"/>
                <w:rFonts w:eastAsia="Times New Roman" w:cs="Arial"/>
                <w:sz w:val="16"/>
                <w:szCs w:val="16"/>
              </w:rPr>
              <w:t xml:space="preserve"> </w:t>
            </w:r>
            <w:r w:rsidRPr="00A0395B">
              <w:rPr>
                <w:rStyle w:val="txt"/>
                <w:rFonts w:eastAsia="Times New Roman" w:cs="Arial"/>
                <w:sz w:val="16"/>
                <w:szCs w:val="16"/>
              </w:rPr>
              <w:t xml:space="preserve">des revues indexées depuis 1996 dans Scopus.   </w:t>
            </w:r>
            <w:r w:rsidR="00D36909">
              <w:rPr>
                <w:rStyle w:val="txt"/>
                <w:rFonts w:eastAsia="Times New Roman" w:cs="Arial"/>
                <w:sz w:val="16"/>
                <w:szCs w:val="16"/>
              </w:rPr>
              <w:t>C’est la valeur du SNIP de l’année de publication des articles qui est utilisé dans ce graphique.</w:t>
            </w:r>
          </w:p>
        </w:tc>
      </w:tr>
      <w:tr w:rsidR="002F6187" w14:paraId="0884BB96" w14:textId="77777777" w:rsidTr="008D2851">
        <w:tc>
          <w:tcPr>
            <w:tcW w:w="709" w:type="dxa"/>
          </w:tcPr>
          <w:p w14:paraId="1DB5DDD2" w14:textId="569719DD" w:rsidR="002F6187" w:rsidRDefault="002F6187" w:rsidP="007B60A5">
            <w:pPr>
              <w:tabs>
                <w:tab w:val="center" w:pos="9498"/>
              </w:tabs>
              <w:spacing w:after="60"/>
              <w:ind w:right="45"/>
              <w:rPr>
                <w:rStyle w:val="txt"/>
                <w:rFonts w:eastAsia="Times New Roman" w:cs="Arial"/>
                <w:sz w:val="18"/>
                <w:szCs w:val="16"/>
              </w:rPr>
            </w:pPr>
            <w:r>
              <w:rPr>
                <w:rStyle w:val="txt"/>
                <w:rFonts w:eastAsia="Times New Roman" w:cs="Arial"/>
                <w:sz w:val="18"/>
                <w:szCs w:val="16"/>
              </w:rPr>
              <w:t>6</w:t>
            </w:r>
          </w:p>
        </w:tc>
        <w:tc>
          <w:tcPr>
            <w:tcW w:w="10091" w:type="dxa"/>
          </w:tcPr>
          <w:p w14:paraId="650B95F5" w14:textId="2FCE11D2" w:rsidR="002F6187" w:rsidRPr="00A0395B" w:rsidRDefault="002F6187" w:rsidP="007B60A5">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Une même publication peut être rattachée à plus d’une discipline si plus d’une catégorie disciplinaire (</w:t>
            </w:r>
            <w:proofErr w:type="spellStart"/>
            <w:r>
              <w:rPr>
                <w:rStyle w:val="txt"/>
                <w:rFonts w:eastAsia="Times New Roman" w:cs="Arial"/>
                <w:sz w:val="16"/>
                <w:szCs w:val="16"/>
              </w:rPr>
              <w:t>Subject</w:t>
            </w:r>
            <w:proofErr w:type="spellEnd"/>
            <w:r>
              <w:rPr>
                <w:rStyle w:val="txt"/>
                <w:rFonts w:eastAsia="Times New Roman" w:cs="Arial"/>
                <w:sz w:val="16"/>
                <w:szCs w:val="16"/>
              </w:rPr>
              <w:t xml:space="preserve"> Area) est assignée à la revue dans laquelle elle est parue.</w:t>
            </w:r>
          </w:p>
        </w:tc>
      </w:tr>
      <w:tr w:rsidR="00F16E5C" w14:paraId="5D3860D7" w14:textId="77777777" w:rsidTr="008D2851">
        <w:tc>
          <w:tcPr>
            <w:tcW w:w="709" w:type="dxa"/>
          </w:tcPr>
          <w:p w14:paraId="659DB0B2" w14:textId="4CAAFC1F" w:rsidR="00F16E5C" w:rsidRDefault="002F6187" w:rsidP="007B60A5">
            <w:pPr>
              <w:tabs>
                <w:tab w:val="center" w:pos="9498"/>
              </w:tabs>
              <w:spacing w:after="60"/>
              <w:ind w:right="45"/>
              <w:rPr>
                <w:rStyle w:val="txt"/>
                <w:rFonts w:eastAsia="Times New Roman" w:cs="Arial"/>
                <w:sz w:val="18"/>
                <w:szCs w:val="16"/>
              </w:rPr>
            </w:pPr>
            <w:r>
              <w:rPr>
                <w:rStyle w:val="txt"/>
                <w:rFonts w:eastAsia="Times New Roman" w:cs="Arial"/>
                <w:sz w:val="18"/>
                <w:szCs w:val="16"/>
              </w:rPr>
              <w:t>7</w:t>
            </w:r>
          </w:p>
        </w:tc>
        <w:tc>
          <w:tcPr>
            <w:tcW w:w="10091" w:type="dxa"/>
          </w:tcPr>
          <w:p w14:paraId="6D908B2E" w14:textId="2EDC975E" w:rsidR="00123925" w:rsidRPr="00A0395B" w:rsidRDefault="0012520E" w:rsidP="00123925">
            <w:pPr>
              <w:tabs>
                <w:tab w:val="center" w:pos="9498"/>
              </w:tabs>
              <w:spacing w:after="60"/>
              <w:ind w:right="45"/>
              <w:jc w:val="both"/>
              <w:rPr>
                <w:rStyle w:val="txt"/>
                <w:rFonts w:eastAsia="Times New Roman" w:cs="Arial"/>
                <w:sz w:val="16"/>
                <w:szCs w:val="16"/>
              </w:rPr>
            </w:pPr>
            <w:r w:rsidRPr="00A0395B">
              <w:rPr>
                <w:rStyle w:val="txt"/>
                <w:rFonts w:eastAsia="Times New Roman" w:cs="Arial"/>
                <w:sz w:val="16"/>
                <w:szCs w:val="16"/>
              </w:rPr>
              <w:t>Les articles de synthèse ne sont pas pris en compte.</w:t>
            </w:r>
          </w:p>
        </w:tc>
      </w:tr>
      <w:tr w:rsidR="00123925" w14:paraId="5D87FAA3" w14:textId="77777777" w:rsidTr="008D2851">
        <w:tc>
          <w:tcPr>
            <w:tcW w:w="709" w:type="dxa"/>
          </w:tcPr>
          <w:p w14:paraId="56E7FF21" w14:textId="77777777" w:rsidR="00123925" w:rsidRDefault="00123925" w:rsidP="007B60A5">
            <w:pPr>
              <w:tabs>
                <w:tab w:val="center" w:pos="9498"/>
              </w:tabs>
              <w:spacing w:after="60"/>
              <w:ind w:right="45"/>
              <w:rPr>
                <w:rStyle w:val="txt"/>
                <w:rFonts w:eastAsia="Times New Roman" w:cs="Arial"/>
                <w:sz w:val="18"/>
                <w:szCs w:val="16"/>
              </w:rPr>
            </w:pPr>
            <w:proofErr w:type="spellStart"/>
            <w:r>
              <w:rPr>
                <w:rStyle w:val="txt"/>
                <w:rFonts w:eastAsia="Times New Roman" w:cs="Arial"/>
                <w:sz w:val="18"/>
                <w:szCs w:val="16"/>
              </w:rPr>
              <w:t>WoS</w:t>
            </w:r>
            <w:proofErr w:type="spellEnd"/>
          </w:p>
        </w:tc>
        <w:tc>
          <w:tcPr>
            <w:tcW w:w="10091" w:type="dxa"/>
          </w:tcPr>
          <w:p w14:paraId="1D338BD4" w14:textId="77777777" w:rsidR="00123925" w:rsidRPr="00A0395B" w:rsidRDefault="000B4B5A" w:rsidP="00123925">
            <w:pPr>
              <w:tabs>
                <w:tab w:val="center" w:pos="9498"/>
              </w:tabs>
              <w:spacing w:after="60"/>
              <w:ind w:right="45"/>
              <w:jc w:val="both"/>
              <w:rPr>
                <w:rStyle w:val="txt"/>
                <w:rFonts w:eastAsia="Times New Roman" w:cs="Arial"/>
                <w:sz w:val="16"/>
                <w:szCs w:val="16"/>
              </w:rPr>
            </w:pPr>
            <w:r w:rsidRPr="00A0395B">
              <w:rPr>
                <w:rStyle w:val="txt"/>
                <w:rFonts w:eastAsia="Times New Roman" w:cs="Arial"/>
                <w:sz w:val="16"/>
                <w:szCs w:val="16"/>
              </w:rPr>
              <w:t xml:space="preserve">Nombre de citations selon des données de </w:t>
            </w:r>
            <w:r w:rsidR="00123925" w:rsidRPr="00A0395B">
              <w:rPr>
                <w:rStyle w:val="txt"/>
                <w:rFonts w:eastAsia="Times New Roman" w:cs="Arial"/>
                <w:sz w:val="16"/>
                <w:szCs w:val="16"/>
              </w:rPr>
              <w:t>Web of Science</w:t>
            </w:r>
            <w:r w:rsidR="00EA1148" w:rsidRPr="00A0395B">
              <w:rPr>
                <w:rStyle w:val="txt"/>
                <w:rFonts w:eastAsia="Times New Roman" w:cs="Arial"/>
                <w:sz w:val="16"/>
                <w:szCs w:val="16"/>
              </w:rPr>
              <w:t>.</w:t>
            </w:r>
          </w:p>
        </w:tc>
      </w:tr>
      <w:tr w:rsidR="00123925" w14:paraId="528EA994" w14:textId="77777777" w:rsidTr="008D2851">
        <w:tc>
          <w:tcPr>
            <w:tcW w:w="709" w:type="dxa"/>
          </w:tcPr>
          <w:p w14:paraId="44A72903" w14:textId="77777777" w:rsidR="00123925" w:rsidRDefault="00123925" w:rsidP="007B60A5">
            <w:pPr>
              <w:tabs>
                <w:tab w:val="center" w:pos="9498"/>
              </w:tabs>
              <w:spacing w:after="60"/>
              <w:ind w:right="45"/>
              <w:rPr>
                <w:rStyle w:val="txt"/>
                <w:rFonts w:eastAsia="Times New Roman" w:cs="Arial"/>
                <w:sz w:val="18"/>
                <w:szCs w:val="16"/>
              </w:rPr>
            </w:pPr>
            <w:r>
              <w:rPr>
                <w:rStyle w:val="txt"/>
                <w:rFonts w:eastAsia="Times New Roman" w:cs="Arial"/>
                <w:sz w:val="18"/>
                <w:szCs w:val="16"/>
              </w:rPr>
              <w:t>GSC</w:t>
            </w:r>
          </w:p>
        </w:tc>
        <w:tc>
          <w:tcPr>
            <w:tcW w:w="10091" w:type="dxa"/>
          </w:tcPr>
          <w:p w14:paraId="5BDD4436" w14:textId="77777777" w:rsidR="00123925" w:rsidRPr="00A0395B" w:rsidRDefault="000B4B5A" w:rsidP="00123925">
            <w:pPr>
              <w:tabs>
                <w:tab w:val="center" w:pos="9498"/>
              </w:tabs>
              <w:spacing w:after="60"/>
              <w:ind w:right="45"/>
              <w:jc w:val="both"/>
              <w:rPr>
                <w:rStyle w:val="txt"/>
                <w:rFonts w:eastAsia="Times New Roman" w:cs="Arial"/>
                <w:sz w:val="16"/>
                <w:szCs w:val="16"/>
              </w:rPr>
            </w:pPr>
            <w:r w:rsidRPr="00A0395B">
              <w:rPr>
                <w:rStyle w:val="txt"/>
                <w:rFonts w:eastAsia="Times New Roman" w:cs="Arial"/>
                <w:sz w:val="16"/>
                <w:szCs w:val="16"/>
              </w:rPr>
              <w:t xml:space="preserve">Nombre de citations selon des données </w:t>
            </w:r>
            <w:r w:rsidR="00EA1148" w:rsidRPr="00A0395B">
              <w:rPr>
                <w:rStyle w:val="txt"/>
                <w:rFonts w:eastAsia="Times New Roman" w:cs="Arial"/>
                <w:sz w:val="16"/>
                <w:szCs w:val="16"/>
              </w:rPr>
              <w:t xml:space="preserve">de </w:t>
            </w:r>
            <w:r w:rsidR="00123925" w:rsidRPr="00A0395B">
              <w:rPr>
                <w:rStyle w:val="txt"/>
                <w:rFonts w:eastAsia="Times New Roman" w:cs="Arial"/>
                <w:sz w:val="16"/>
                <w:szCs w:val="16"/>
              </w:rPr>
              <w:t>Google Scholar Citations</w:t>
            </w:r>
            <w:r w:rsidR="00EA1148" w:rsidRPr="00A0395B">
              <w:rPr>
                <w:rStyle w:val="txt"/>
                <w:rFonts w:eastAsia="Times New Roman" w:cs="Arial"/>
                <w:sz w:val="16"/>
                <w:szCs w:val="16"/>
              </w:rPr>
              <w:t>.</w:t>
            </w:r>
          </w:p>
        </w:tc>
      </w:tr>
    </w:tbl>
    <w:p w14:paraId="15712F1F" w14:textId="5B414C10" w:rsidR="002E3F6B" w:rsidRDefault="002E3F6B" w:rsidP="004D5C17">
      <w:pPr>
        <w:tabs>
          <w:tab w:val="left" w:pos="3180"/>
        </w:tabs>
        <w:jc w:val="right"/>
        <w:rPr>
          <w:rFonts w:ascii="Calibri" w:eastAsia="Calibri" w:hAnsi="Calibri" w:cs="Times New Roman"/>
          <w:sz w:val="2"/>
          <w:szCs w:val="2"/>
        </w:rPr>
      </w:pPr>
    </w:p>
    <w:p w14:paraId="730FFB91" w14:textId="4732F03F" w:rsidR="00BC79F8" w:rsidRDefault="00BC79F8" w:rsidP="002E3F6B">
      <w:pPr>
        <w:jc w:val="right"/>
        <w:rPr>
          <w:rFonts w:ascii="Calibri" w:eastAsia="Calibri" w:hAnsi="Calibri" w:cs="Times New Roman"/>
          <w:sz w:val="2"/>
          <w:szCs w:val="2"/>
        </w:rPr>
      </w:pPr>
    </w:p>
    <w:p w14:paraId="0837836C" w14:textId="54B9743D" w:rsidR="002E3F6B" w:rsidRDefault="002E3F6B" w:rsidP="002E3F6B">
      <w:pPr>
        <w:jc w:val="right"/>
        <w:rPr>
          <w:rFonts w:ascii="Calibri" w:eastAsia="Calibri" w:hAnsi="Calibri" w:cs="Times New Roman"/>
          <w:sz w:val="2"/>
          <w:szCs w:val="2"/>
        </w:rPr>
      </w:pPr>
    </w:p>
    <w:p w14:paraId="4D21ED5A" w14:textId="299B7C59" w:rsidR="002E3F6B" w:rsidRDefault="002E3F6B" w:rsidP="002E3F6B">
      <w:pPr>
        <w:jc w:val="right"/>
        <w:rPr>
          <w:rFonts w:ascii="Calibri" w:eastAsia="Calibri" w:hAnsi="Calibri" w:cs="Times New Roman"/>
          <w:sz w:val="2"/>
          <w:szCs w:val="2"/>
        </w:rPr>
      </w:pPr>
    </w:p>
    <w:p w14:paraId="44C312C1" w14:textId="77777777" w:rsidR="002D24DF" w:rsidRDefault="002D24DF">
      <w:pPr>
        <w:spacing w:after="160" w:line="259" w:lineRule="auto"/>
        <w:rPr>
          <w:rFonts w:ascii="Calibri" w:eastAsia="Calibri" w:hAnsi="Calibri" w:cs="Times New Roman"/>
          <w:b/>
        </w:rPr>
      </w:pPr>
      <w:r>
        <w:rPr>
          <w:rFonts w:ascii="Calibri" w:eastAsia="Calibri" w:hAnsi="Calibri" w:cs="Times New Roman"/>
          <w:b/>
        </w:rPr>
        <w:br w:type="page"/>
      </w:r>
    </w:p>
    <w:p w14:paraId="4F76FFBE" w14:textId="7C903EB8" w:rsidR="002E3F6B" w:rsidRPr="00362554" w:rsidRDefault="002E3F6B" w:rsidP="002E3F6B">
      <w:pPr>
        <w:jc w:val="center"/>
        <w:rPr>
          <w:rFonts w:ascii="Calibri" w:eastAsia="Calibri" w:hAnsi="Calibri" w:cs="Times New Roman"/>
          <w:b/>
        </w:rPr>
      </w:pPr>
      <w:r w:rsidRPr="00362554">
        <w:rPr>
          <w:rFonts w:ascii="Calibri" w:eastAsia="Calibri" w:hAnsi="Calibri" w:cs="Times New Roman"/>
          <w:b/>
        </w:rPr>
        <w:lastRenderedPageBreak/>
        <w:t>Faits saillants</w:t>
      </w:r>
      <w:r w:rsidR="002D24DF">
        <w:rPr>
          <w:rFonts w:ascii="Calibri" w:eastAsia="Calibri" w:hAnsi="Calibri" w:cs="Times New Roman"/>
          <w:b/>
        </w:rPr>
        <w:t xml:space="preserve"> (autres)</w:t>
      </w:r>
    </w:p>
    <w:p w14:paraId="233E03F3" w14:textId="7D18A355" w:rsidR="002E3F6B" w:rsidRDefault="002E3F6B" w:rsidP="002E3F6B">
      <w:pPr>
        <w:pStyle w:val="Paragraphedeliste"/>
        <w:numPr>
          <w:ilvl w:val="0"/>
          <w:numId w:val="9"/>
        </w:numPr>
        <w:spacing w:line="240" w:lineRule="auto"/>
        <w:jc w:val="both"/>
      </w:pPr>
      <w:r>
        <w:t>X</w:t>
      </w:r>
      <w:r w:rsidRPr="00662ABF">
        <w:t xml:space="preserve"> des</w:t>
      </w:r>
      <w:r>
        <w:t xml:space="preserve"> X articles</w:t>
      </w:r>
      <w:r w:rsidRPr="00662ABF">
        <w:t xml:space="preserve"> de </w:t>
      </w:r>
      <w:r>
        <w:t>XXX</w:t>
      </w:r>
      <w:r w:rsidRPr="00662ABF">
        <w:t xml:space="preserve"> </w:t>
      </w:r>
      <w:r>
        <w:t xml:space="preserve">indexés dans Scopus et </w:t>
      </w:r>
      <w:r w:rsidRPr="00662ABF">
        <w:t>parus entre 20</w:t>
      </w:r>
      <w:r>
        <w:t xml:space="preserve">XX </w:t>
      </w:r>
      <w:r w:rsidRPr="00662ABF">
        <w:t>et 20</w:t>
      </w:r>
      <w:r>
        <w:t>XX</w:t>
      </w:r>
      <w:r w:rsidRPr="00662ABF">
        <w:t xml:space="preserve"> ont été davantage cités que </w:t>
      </w:r>
      <w:r>
        <w:t>XX</w:t>
      </w:r>
      <w:r w:rsidRPr="00662ABF">
        <w:t xml:space="preserve">% des documents de même type et parus durant la même </w:t>
      </w:r>
      <w:r>
        <w:t>période (fenêtre de 18 mois)</w:t>
      </w:r>
      <w:r w:rsidRPr="00662ABF">
        <w:t xml:space="preserve"> dans des revues de mêmes catégories :</w:t>
      </w:r>
    </w:p>
    <w:p w14:paraId="1D2A58A5" w14:textId="5C0AE4EC" w:rsidR="002E3F6B" w:rsidRDefault="002E3F6B" w:rsidP="002E3F6B">
      <w:pPr>
        <w:pStyle w:val="Paragraphedeliste"/>
        <w:numPr>
          <w:ilvl w:val="1"/>
          <w:numId w:val="9"/>
        </w:numPr>
        <w:spacing w:line="240" w:lineRule="auto"/>
        <w:jc w:val="both"/>
      </w:pPr>
      <w:r w:rsidRPr="00C12D28">
        <w:t xml:space="preserve">Avec à ce jour </w:t>
      </w:r>
      <w:r>
        <w:t>XX</w:t>
      </w:r>
      <w:r w:rsidRPr="00C12D28">
        <w:t xml:space="preserve"> citations, l’article “</w:t>
      </w:r>
      <w:r>
        <w:rPr>
          <w:b/>
        </w:rPr>
        <w:t>XXXXX</w:t>
      </w:r>
      <w:r w:rsidRPr="00C12D28">
        <w:t>” (20</w:t>
      </w:r>
      <w:r>
        <w:t>XX</w:t>
      </w:r>
      <w:r w:rsidRPr="00C12D28">
        <w:t xml:space="preserve">) a été davantage cité que </w:t>
      </w:r>
      <w:r>
        <w:t>XX</w:t>
      </w:r>
      <w:r w:rsidRPr="00C12D28">
        <w:t>% des articles parus dans des revues de</w:t>
      </w:r>
      <w:r>
        <w:t>s</w:t>
      </w:r>
      <w:r w:rsidRPr="00C12D28">
        <w:t xml:space="preserve"> catégorie</w:t>
      </w:r>
      <w:r>
        <w:t xml:space="preserve">s et sous-catégories suivantes : </w:t>
      </w:r>
      <w:r w:rsidRPr="00C12D28">
        <w:t xml:space="preserve"> </w:t>
      </w:r>
    </w:p>
    <w:p w14:paraId="7C9783D6" w14:textId="29A21D7B" w:rsidR="002E3F6B" w:rsidRPr="00CB3F60" w:rsidRDefault="002E3F6B" w:rsidP="002E3F6B">
      <w:pPr>
        <w:pStyle w:val="Paragraphedeliste"/>
        <w:numPr>
          <w:ilvl w:val="2"/>
          <w:numId w:val="9"/>
        </w:numPr>
        <w:rPr>
          <w:lang w:val="en-US"/>
        </w:rPr>
      </w:pPr>
      <w:r>
        <w:rPr>
          <w:sz w:val="18"/>
          <w:szCs w:val="18"/>
          <w:lang w:val="en-CA"/>
        </w:rPr>
        <w:t>xxx</w:t>
      </w:r>
    </w:p>
    <w:p w14:paraId="5BA99709" w14:textId="577B674F" w:rsidR="002E3F6B" w:rsidRPr="00CB3F60" w:rsidRDefault="002E3F6B" w:rsidP="002E3F6B">
      <w:pPr>
        <w:pStyle w:val="Paragraphedeliste"/>
        <w:numPr>
          <w:ilvl w:val="2"/>
          <w:numId w:val="9"/>
        </w:numPr>
        <w:rPr>
          <w:lang w:val="en-US"/>
        </w:rPr>
      </w:pPr>
      <w:r>
        <w:rPr>
          <w:sz w:val="18"/>
          <w:szCs w:val="18"/>
          <w:lang w:val="en-CA"/>
        </w:rPr>
        <w:t>xxx</w:t>
      </w:r>
    </w:p>
    <w:p w14:paraId="14141C7F" w14:textId="345ADCA0" w:rsidR="002E3F6B" w:rsidRPr="002D0321" w:rsidRDefault="002E3F6B" w:rsidP="002E3F6B">
      <w:pPr>
        <w:pStyle w:val="Paragraphedeliste"/>
        <w:numPr>
          <w:ilvl w:val="2"/>
          <w:numId w:val="9"/>
        </w:numPr>
        <w:rPr>
          <w:lang w:val="en-US"/>
        </w:rPr>
      </w:pPr>
      <w:r>
        <w:rPr>
          <w:sz w:val="18"/>
          <w:szCs w:val="18"/>
          <w:lang w:val="en-CA"/>
        </w:rPr>
        <w:t>xxx</w:t>
      </w:r>
    </w:p>
    <w:p w14:paraId="1618AC3F" w14:textId="05283922" w:rsidR="00BB457D" w:rsidRPr="00BB457D" w:rsidRDefault="00BB457D" w:rsidP="00BB4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Référence-------------------------------------------------------------------------------------------------------------------------------------------</w:t>
      </w:r>
      <w:r w:rsidRPr="00BB457D">
        <w:rPr>
          <w:rFonts w:ascii="Segoe UI" w:hAnsi="Segoe UI" w:cs="Segoe UI"/>
          <w:sz w:val="18"/>
          <w:szCs w:val="18"/>
        </w:rPr>
        <w:t xml:space="preserve">. </w:t>
      </w:r>
      <w:proofErr w:type="spellStart"/>
      <w:proofErr w:type="gramStart"/>
      <w:r w:rsidRPr="00BB457D">
        <w:rPr>
          <w:rFonts w:ascii="Segoe UI" w:hAnsi="Segoe UI" w:cs="Segoe UI"/>
          <w:sz w:val="18"/>
          <w:szCs w:val="18"/>
        </w:rPr>
        <w:t>doi</w:t>
      </w:r>
      <w:proofErr w:type="spellEnd"/>
      <w:proofErr w:type="gramEnd"/>
      <w:r w:rsidRPr="00BB457D">
        <w:rPr>
          <w:rFonts w:ascii="Segoe UI" w:hAnsi="Segoe UI" w:cs="Segoe UI"/>
          <w:sz w:val="18"/>
          <w:szCs w:val="18"/>
        </w:rPr>
        <w:t xml:space="preserve">: 10.1016/j.infsof.2020.106429. SNIP : 2,271. Citations : Scopus 21 ; </w:t>
      </w:r>
      <w:proofErr w:type="spellStart"/>
      <w:r w:rsidRPr="00BB457D">
        <w:rPr>
          <w:rFonts w:ascii="Segoe UI" w:hAnsi="Segoe UI" w:cs="Segoe UI"/>
          <w:sz w:val="18"/>
          <w:szCs w:val="18"/>
        </w:rPr>
        <w:t>WoS</w:t>
      </w:r>
      <w:proofErr w:type="spellEnd"/>
      <w:r w:rsidRPr="00BB457D">
        <w:rPr>
          <w:rFonts w:ascii="Segoe UI" w:hAnsi="Segoe UI" w:cs="Segoe UI"/>
          <w:sz w:val="18"/>
          <w:szCs w:val="18"/>
        </w:rPr>
        <w:t xml:space="preserve"> 7 ; GSC 36.</w:t>
      </w:r>
    </w:p>
    <w:tbl>
      <w:tblPr>
        <w:tblW w:w="12125" w:type="dxa"/>
        <w:tblInd w:w="-142" w:type="dxa"/>
        <w:tblCellMar>
          <w:left w:w="70" w:type="dxa"/>
          <w:right w:w="70" w:type="dxa"/>
        </w:tblCellMar>
        <w:tblLook w:val="04A0" w:firstRow="1" w:lastRow="0" w:firstColumn="1" w:lastColumn="0" w:noHBand="0" w:noVBand="1"/>
      </w:tblPr>
      <w:tblGrid>
        <w:gridCol w:w="12125"/>
      </w:tblGrid>
      <w:tr w:rsidR="002300CB" w:rsidRPr="008C6E34" w14:paraId="47DE4773" w14:textId="77777777" w:rsidTr="00B02CF6">
        <w:trPr>
          <w:trHeight w:val="288"/>
        </w:trPr>
        <w:tc>
          <w:tcPr>
            <w:tcW w:w="12125" w:type="dxa"/>
            <w:shd w:val="clear" w:color="auto" w:fill="auto"/>
            <w:noWrap/>
            <w:hideMark/>
          </w:tcPr>
          <w:tbl>
            <w:tblPr>
              <w:tblW w:w="10569" w:type="dxa"/>
              <w:tblCellMar>
                <w:left w:w="70" w:type="dxa"/>
                <w:right w:w="70" w:type="dxa"/>
              </w:tblCellMar>
              <w:tblLook w:val="04A0" w:firstRow="1" w:lastRow="0" w:firstColumn="1" w:lastColumn="0" w:noHBand="0" w:noVBand="1"/>
            </w:tblPr>
            <w:tblGrid>
              <w:gridCol w:w="10569"/>
            </w:tblGrid>
            <w:tr w:rsidR="002300CB" w:rsidRPr="009E0981" w14:paraId="71F23F1A" w14:textId="77777777" w:rsidTr="002300CB">
              <w:trPr>
                <w:trHeight w:val="435"/>
              </w:trPr>
              <w:tc>
                <w:tcPr>
                  <w:tcW w:w="10569" w:type="dxa"/>
                  <w:tcBorders>
                    <w:bottom w:val="single" w:sz="4" w:space="0" w:color="auto"/>
                  </w:tcBorders>
                  <w:shd w:val="clear" w:color="auto" w:fill="auto"/>
                  <w:noWrap/>
                </w:tcPr>
                <w:p w14:paraId="287D8208" w14:textId="0BF341EC" w:rsidR="002300CB" w:rsidRPr="00261C48" w:rsidRDefault="002300CB" w:rsidP="00B02CF6">
                  <w:pPr>
                    <w:jc w:val="center"/>
                    <w:rPr>
                      <w:rFonts w:ascii="Segoe UI" w:hAnsi="Segoe UI" w:cs="Segoe UI"/>
                      <w:b/>
                      <w:sz w:val="20"/>
                      <w:szCs w:val="20"/>
                    </w:rPr>
                  </w:pPr>
                </w:p>
              </w:tc>
            </w:tr>
            <w:tr w:rsidR="002300CB" w:rsidRPr="009E0981" w14:paraId="3EBBEAFE" w14:textId="77777777" w:rsidTr="002300CB">
              <w:trPr>
                <w:trHeight w:val="894"/>
              </w:trPr>
              <w:tc>
                <w:tcPr>
                  <w:tcW w:w="10569" w:type="dxa"/>
                  <w:tcBorders>
                    <w:top w:val="single" w:sz="4" w:space="0" w:color="auto"/>
                    <w:left w:val="single" w:sz="4" w:space="0" w:color="auto"/>
                    <w:bottom w:val="single" w:sz="4" w:space="0" w:color="auto"/>
                    <w:right w:val="single" w:sz="4" w:space="0" w:color="auto"/>
                  </w:tcBorders>
                  <w:shd w:val="clear" w:color="auto" w:fill="auto"/>
                  <w:noWrap/>
                </w:tcPr>
                <w:p w14:paraId="756BAC3F" w14:textId="77777777" w:rsidR="002300CB" w:rsidRPr="001357BE" w:rsidRDefault="002300CB" w:rsidP="00B02CF6">
                  <w:pPr>
                    <w:autoSpaceDE w:val="0"/>
                    <w:autoSpaceDN w:val="0"/>
                    <w:adjustRightInd w:val="0"/>
                    <w:spacing w:after="0" w:line="240" w:lineRule="auto"/>
                    <w:ind w:left="720" w:hanging="720"/>
                    <w:jc w:val="both"/>
                    <w:rPr>
                      <w:rFonts w:ascii="Segoe UI" w:hAnsi="Segoe UI" w:cs="Segoe UI"/>
                      <w:color w:val="808080" w:themeColor="background1" w:themeShade="80"/>
                      <w:sz w:val="16"/>
                      <w:szCs w:val="16"/>
                    </w:rPr>
                  </w:pPr>
                  <w:r>
                    <w:rPr>
                      <w:rFonts w:ascii="Segoe UI" w:hAnsi="Segoe UI" w:cs="Segoe UI"/>
                      <w:sz w:val="18"/>
                      <w:szCs w:val="18"/>
                    </w:rPr>
                    <w:t xml:space="preserve">Autre référence à inscrire Autre référence à inscrire Autre référence à inscrire Autre référence à inscrire Autre référence à inscrire. SNIP : </w:t>
                  </w:r>
                  <w:proofErr w:type="gramStart"/>
                  <w:r>
                    <w:rPr>
                      <w:rFonts w:ascii="Segoe UI" w:hAnsi="Segoe UI" w:cs="Segoe UI"/>
                      <w:sz w:val="18"/>
                      <w:szCs w:val="18"/>
                    </w:rPr>
                    <w:t>X,XXX</w:t>
                  </w:r>
                  <w:proofErr w:type="gramEnd"/>
                  <w:r w:rsidRPr="003A2E3E">
                    <w:rPr>
                      <w:rFonts w:ascii="Segoe UI" w:hAnsi="Segoe UI" w:cs="Segoe UI"/>
                      <w:sz w:val="18"/>
                      <w:szCs w:val="18"/>
                    </w:rPr>
                    <w:t>. Citations</w:t>
                  </w:r>
                  <w:r>
                    <w:rPr>
                      <w:rFonts w:ascii="Segoe UI" w:hAnsi="Segoe UI" w:cs="Segoe UI"/>
                      <w:sz w:val="18"/>
                      <w:szCs w:val="18"/>
                    </w:rPr>
                    <w:t> : Scopus</w:t>
                  </w:r>
                  <w:r w:rsidRPr="003A2E3E">
                    <w:rPr>
                      <w:rFonts w:ascii="Segoe UI" w:hAnsi="Segoe UI" w:cs="Segoe UI"/>
                      <w:sz w:val="18"/>
                      <w:szCs w:val="18"/>
                    </w:rPr>
                    <w:t xml:space="preserve"> </w:t>
                  </w:r>
                  <w:r>
                    <w:rPr>
                      <w:rFonts w:ascii="Segoe UI" w:hAnsi="Segoe UI" w:cs="Segoe UI"/>
                      <w:sz w:val="18"/>
                      <w:szCs w:val="18"/>
                    </w:rPr>
                    <w:t xml:space="preserve">X ; </w:t>
                  </w:r>
                  <w:proofErr w:type="spellStart"/>
                  <w:r>
                    <w:rPr>
                      <w:rFonts w:ascii="Segoe UI" w:hAnsi="Segoe UI" w:cs="Segoe UI"/>
                      <w:sz w:val="18"/>
                      <w:szCs w:val="18"/>
                    </w:rPr>
                    <w:t>WoS</w:t>
                  </w:r>
                  <w:proofErr w:type="spellEnd"/>
                  <w:r>
                    <w:rPr>
                      <w:rFonts w:ascii="Segoe UI" w:hAnsi="Segoe UI" w:cs="Segoe UI"/>
                      <w:sz w:val="18"/>
                      <w:szCs w:val="18"/>
                    </w:rPr>
                    <w:t xml:space="preserve"> X ; GSC X.</w:t>
                  </w:r>
                </w:p>
              </w:tc>
            </w:tr>
          </w:tbl>
          <w:p w14:paraId="79B5A094" w14:textId="77777777" w:rsidR="002300CB" w:rsidRPr="001357BE" w:rsidRDefault="002300CB" w:rsidP="00B02CF6">
            <w:pPr>
              <w:ind w:right="839"/>
            </w:pPr>
          </w:p>
        </w:tc>
      </w:tr>
    </w:tbl>
    <w:p w14:paraId="1CCEBFBE" w14:textId="77777777" w:rsidR="002D0321" w:rsidRPr="00BB457D" w:rsidRDefault="002D0321" w:rsidP="002D0321"/>
    <w:p w14:paraId="3855B3B2" w14:textId="77777777" w:rsidR="002D0321" w:rsidRPr="002D0321" w:rsidRDefault="002D0321" w:rsidP="002D0321">
      <w:pPr>
        <w:spacing w:line="240" w:lineRule="auto"/>
        <w:ind w:left="360"/>
        <w:jc w:val="center"/>
        <w:rPr>
          <w:b/>
          <w:sz w:val="24"/>
          <w:szCs w:val="24"/>
        </w:rPr>
      </w:pPr>
      <w:r w:rsidRPr="002D0321">
        <w:rPr>
          <w:b/>
          <w:sz w:val="24"/>
          <w:szCs w:val="24"/>
        </w:rPr>
        <w:t>Contributions à la recherche de X dans le dépôt institutionnel de l’ÉTS</w:t>
      </w:r>
    </w:p>
    <w:p w14:paraId="4ADB7D9E" w14:textId="56535625" w:rsidR="002D0321" w:rsidRDefault="002D0321" w:rsidP="002D0321">
      <w:pPr>
        <w:ind w:left="360"/>
        <w:jc w:val="center"/>
      </w:pPr>
      <w:r>
        <w:t>(</w:t>
      </w:r>
      <w:proofErr w:type="gramStart"/>
      <w:r>
        <w:t>tableau</w:t>
      </w:r>
      <w:proofErr w:type="gramEnd"/>
      <w:r>
        <w:t>)</w:t>
      </w:r>
    </w:p>
    <w:p w14:paraId="561C9BF0" w14:textId="76959040" w:rsidR="002D0321" w:rsidRDefault="002D0321" w:rsidP="002D0321">
      <w:pPr>
        <w:ind w:left="360"/>
        <w:jc w:val="center"/>
      </w:pPr>
    </w:p>
    <w:p w14:paraId="0DB5B0CE" w14:textId="77777777" w:rsidR="002D0321" w:rsidRPr="002D0321" w:rsidRDefault="002D0321" w:rsidP="002D0321">
      <w:pPr>
        <w:spacing w:after="160" w:line="259" w:lineRule="auto"/>
        <w:jc w:val="center"/>
        <w:rPr>
          <w:rFonts w:ascii="Calibri" w:eastAsia="Calibri" w:hAnsi="Calibri" w:cs="Times New Roman"/>
          <w:b/>
          <w:sz w:val="24"/>
          <w:szCs w:val="24"/>
        </w:rPr>
      </w:pPr>
      <w:r w:rsidRPr="002D0321">
        <w:rPr>
          <w:b/>
          <w:sz w:val="24"/>
          <w:szCs w:val="24"/>
        </w:rPr>
        <w:t>Incidence pédagogique</w:t>
      </w:r>
    </w:p>
    <w:p w14:paraId="0E4C9160" w14:textId="77777777" w:rsidR="002D0321" w:rsidRDefault="002D0321" w:rsidP="002D0321">
      <w:pPr>
        <w:pStyle w:val="Paragraphedeliste"/>
        <w:numPr>
          <w:ilvl w:val="0"/>
          <w:numId w:val="11"/>
        </w:numPr>
        <w:spacing w:after="160" w:line="259" w:lineRule="auto"/>
        <w:jc w:val="both"/>
      </w:pPr>
      <w:r>
        <w:t>Entre 20XX et 20XX, X a dirigé un total de X étudiants de l’ÉTS inscrits à la maîtrise (X) ou au doctorat (X), en plus d’en co-diriger X autres (X maîtrise, X doctorat) :</w:t>
      </w:r>
    </w:p>
    <w:p w14:paraId="2A71CEBE" w14:textId="77777777" w:rsidR="002D0321" w:rsidRDefault="002D0321" w:rsidP="002D0321">
      <w:pPr>
        <w:pStyle w:val="Paragraphedeliste"/>
        <w:numPr>
          <w:ilvl w:val="1"/>
          <w:numId w:val="11"/>
        </w:numPr>
        <w:spacing w:after="160" w:line="259" w:lineRule="auto"/>
        <w:jc w:val="both"/>
      </w:pPr>
      <w:r>
        <w:t xml:space="preserve">Direction : </w:t>
      </w:r>
      <w:r w:rsidRPr="00003EB2">
        <w:t>https://espace.etsmtl.ca/view/master_director/xxz</w:t>
      </w:r>
      <w:r>
        <w:t xml:space="preserve"> </w:t>
      </w:r>
    </w:p>
    <w:p w14:paraId="6B1511B5" w14:textId="77777777" w:rsidR="002D0321" w:rsidRPr="00342CF7" w:rsidRDefault="002D0321" w:rsidP="002D0321">
      <w:pPr>
        <w:pStyle w:val="Paragraphedeliste"/>
        <w:numPr>
          <w:ilvl w:val="1"/>
          <w:numId w:val="11"/>
        </w:numPr>
        <w:spacing w:after="160" w:line="259" w:lineRule="auto"/>
        <w:jc w:val="both"/>
        <w:rPr>
          <w:rFonts w:ascii="Calibri" w:eastAsia="Calibri" w:hAnsi="Calibri" w:cs="Times New Roman"/>
          <w:b/>
          <w:sz w:val="24"/>
        </w:rPr>
      </w:pPr>
      <w:r>
        <w:t xml:space="preserve">Codirection : </w:t>
      </w:r>
      <w:r w:rsidRPr="005C070C">
        <w:t>https://espace.etsmtl.ca/view/codirecteur/xxx</w:t>
      </w:r>
    </w:p>
    <w:p w14:paraId="34D35BC0" w14:textId="77777777" w:rsidR="00BB457D" w:rsidRPr="00BB457D" w:rsidRDefault="00BB457D" w:rsidP="00BB457D">
      <w:pPr>
        <w:ind w:left="360"/>
        <w:jc w:val="center"/>
        <w:rPr>
          <w:b/>
          <w:bCs/>
          <w:sz w:val="24"/>
          <w:szCs w:val="24"/>
        </w:rPr>
      </w:pPr>
      <w:r w:rsidRPr="00BB457D">
        <w:rPr>
          <w:b/>
          <w:bCs/>
          <w:sz w:val="24"/>
          <w:szCs w:val="24"/>
        </w:rPr>
        <w:t>Incidence technologique</w:t>
      </w:r>
    </w:p>
    <w:p w14:paraId="4227D8D1" w14:textId="45C5C8D8" w:rsidR="002D0321" w:rsidRDefault="00BB457D" w:rsidP="00BB457D">
      <w:pPr>
        <w:pStyle w:val="Paragraphedeliste"/>
        <w:numPr>
          <w:ilvl w:val="0"/>
          <w:numId w:val="11"/>
        </w:numPr>
        <w:jc w:val="both"/>
      </w:pPr>
      <w:r>
        <w:t>Certains aspects de la production scientifique de X intéressent les joueurs de l’industrie, comme en témoignent les citations provenant de documents relatifs à des brevets qu’ont reçu certaines de ses publications.  Parmi les propriétaires ou demandeurs des brevets dans lesquels sont cités des publications de X mentionnons : X et X.</w:t>
      </w:r>
    </w:p>
    <w:p w14:paraId="4FB6D84A" w14:textId="77777777" w:rsidR="00BB457D" w:rsidRDefault="00BB457D" w:rsidP="00BB457D">
      <w:pPr>
        <w:pStyle w:val="Paragraphedeliste"/>
        <w:jc w:val="both"/>
      </w:pPr>
    </w:p>
    <w:p w14:paraId="3E287E63" w14:textId="77777777" w:rsidR="00BB457D" w:rsidRPr="00BB457D" w:rsidRDefault="00BB457D" w:rsidP="00BB4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Référence-------------------------------------------------------------------------------------------------------------------------------------------</w:t>
      </w:r>
      <w:r w:rsidRPr="00BB457D">
        <w:rPr>
          <w:rFonts w:ascii="Segoe UI" w:hAnsi="Segoe UI" w:cs="Segoe UI"/>
          <w:sz w:val="18"/>
          <w:szCs w:val="18"/>
        </w:rPr>
        <w:t xml:space="preserve">. </w:t>
      </w:r>
      <w:proofErr w:type="spellStart"/>
      <w:proofErr w:type="gramStart"/>
      <w:r w:rsidRPr="00BB457D">
        <w:rPr>
          <w:rFonts w:ascii="Segoe UI" w:hAnsi="Segoe UI" w:cs="Segoe UI"/>
          <w:sz w:val="18"/>
          <w:szCs w:val="18"/>
        </w:rPr>
        <w:t>doi</w:t>
      </w:r>
      <w:proofErr w:type="spellEnd"/>
      <w:proofErr w:type="gramEnd"/>
      <w:r w:rsidRPr="00BB457D">
        <w:rPr>
          <w:rFonts w:ascii="Segoe UI" w:hAnsi="Segoe UI" w:cs="Segoe UI"/>
          <w:sz w:val="18"/>
          <w:szCs w:val="18"/>
        </w:rPr>
        <w:t xml:space="preserve">: 10.1016/j.infsof.2020.106429. SNIP : 2,271. Citations : Scopus 21 ; </w:t>
      </w:r>
      <w:proofErr w:type="spellStart"/>
      <w:r w:rsidRPr="00BB457D">
        <w:rPr>
          <w:rFonts w:ascii="Segoe UI" w:hAnsi="Segoe UI" w:cs="Segoe UI"/>
          <w:sz w:val="18"/>
          <w:szCs w:val="18"/>
        </w:rPr>
        <w:t>WoS</w:t>
      </w:r>
      <w:proofErr w:type="spellEnd"/>
      <w:r w:rsidRPr="00BB457D">
        <w:rPr>
          <w:rFonts w:ascii="Segoe UI" w:hAnsi="Segoe UI" w:cs="Segoe UI"/>
          <w:sz w:val="18"/>
          <w:szCs w:val="18"/>
        </w:rPr>
        <w:t xml:space="preserve"> 7 ; GSC 36.</w:t>
      </w:r>
    </w:p>
    <w:p w14:paraId="32857AD3" w14:textId="2EC5DF38" w:rsidR="00BB457D" w:rsidRDefault="00BB457D" w:rsidP="00BB457D"/>
    <w:p w14:paraId="477D4B13" w14:textId="77777777" w:rsidR="00BB457D" w:rsidRPr="005C39C0" w:rsidRDefault="00BB457D" w:rsidP="00BB457D">
      <w:pPr>
        <w:pStyle w:val="Paragraphedeliste"/>
        <w:jc w:val="center"/>
        <w:rPr>
          <w:rFonts w:cstheme="minorHAnsi"/>
          <w:b/>
          <w:bCs/>
          <w:shd w:val="clear" w:color="auto" w:fill="FFFFFF"/>
        </w:rPr>
      </w:pPr>
      <w:r w:rsidRPr="005C39C0">
        <w:rPr>
          <w:rFonts w:cstheme="minorHAnsi"/>
          <w:b/>
          <w:bCs/>
          <w:shd w:val="clear" w:color="auto" w:fill="FFFFFF"/>
        </w:rPr>
        <w:t xml:space="preserve">Listes de </w:t>
      </w:r>
      <w:r>
        <w:rPr>
          <w:rFonts w:cstheme="minorHAnsi"/>
          <w:b/>
          <w:bCs/>
          <w:shd w:val="clear" w:color="auto" w:fill="FFFFFF"/>
        </w:rPr>
        <w:t>publications</w:t>
      </w:r>
      <w:r w:rsidRPr="005C39C0">
        <w:rPr>
          <w:rFonts w:cstheme="minorHAnsi"/>
          <w:b/>
          <w:bCs/>
          <w:shd w:val="clear" w:color="auto" w:fill="FFFFFF"/>
        </w:rPr>
        <w:t xml:space="preserve"> en collaboration avec un partenaire industriel </w:t>
      </w:r>
      <w:r w:rsidRPr="005C39C0">
        <w:rPr>
          <w:rStyle w:val="Appelnotedebasdep"/>
          <w:rFonts w:cstheme="minorHAnsi"/>
          <w:b/>
          <w:bCs/>
          <w:shd w:val="clear" w:color="auto" w:fill="FFFFFF"/>
        </w:rPr>
        <w:footnoteReference w:id="1"/>
      </w:r>
    </w:p>
    <w:p w14:paraId="1D0733B7" w14:textId="3FD83B1A" w:rsidR="00BB457D" w:rsidRDefault="00BB457D" w:rsidP="00BB457D">
      <w:pPr>
        <w:ind w:left="360"/>
        <w:jc w:val="center"/>
        <w:rPr>
          <w:b/>
          <w:bCs/>
          <w:sz w:val="24"/>
          <w:szCs w:val="24"/>
        </w:rPr>
      </w:pPr>
      <w:r w:rsidRPr="00BB457D">
        <w:rPr>
          <w:b/>
          <w:bCs/>
          <w:sz w:val="24"/>
          <w:szCs w:val="24"/>
        </w:rPr>
        <w:lastRenderedPageBreak/>
        <w:t xml:space="preserve">Incidence </w:t>
      </w:r>
      <w:r>
        <w:rPr>
          <w:b/>
          <w:bCs/>
          <w:sz w:val="24"/>
          <w:szCs w:val="24"/>
        </w:rPr>
        <w:t>sociétale</w:t>
      </w:r>
    </w:p>
    <w:p w14:paraId="35F37728" w14:textId="1A2DC29C" w:rsidR="00BB457D" w:rsidRDefault="00BB457D" w:rsidP="00BB457D">
      <w:pPr>
        <w:pStyle w:val="Paragraphedeliste"/>
        <w:spacing w:after="160" w:line="259" w:lineRule="auto"/>
        <w:jc w:val="center"/>
        <w:rPr>
          <w:b/>
          <w:sz w:val="24"/>
          <w:szCs w:val="24"/>
        </w:rPr>
      </w:pPr>
      <w:r w:rsidRPr="00050170">
        <w:rPr>
          <w:rFonts w:ascii="Calibri" w:eastAsia="Calibri" w:hAnsi="Calibri" w:cs="Times New Roman"/>
          <w:b/>
          <w:sz w:val="24"/>
          <w:szCs w:val="24"/>
        </w:rPr>
        <w:t xml:space="preserve">Citations dans des rapports - </w:t>
      </w:r>
      <w:r w:rsidRPr="00050170">
        <w:rPr>
          <w:b/>
          <w:sz w:val="24"/>
          <w:szCs w:val="24"/>
        </w:rPr>
        <w:t>Incidences environnementale, politique et sociétale</w:t>
      </w:r>
    </w:p>
    <w:p w14:paraId="688F8860" w14:textId="656FC36F" w:rsidR="00BB457D" w:rsidRDefault="00BB457D" w:rsidP="00BB457D">
      <w:pPr>
        <w:pStyle w:val="Paragraphedeliste"/>
        <w:spacing w:after="160" w:line="259" w:lineRule="auto"/>
        <w:jc w:val="center"/>
        <w:rPr>
          <w:b/>
          <w:sz w:val="24"/>
          <w:szCs w:val="24"/>
        </w:rPr>
      </w:pPr>
    </w:p>
    <w:p w14:paraId="6D79BEC8" w14:textId="77777777" w:rsidR="00BB457D" w:rsidRDefault="00BB457D" w:rsidP="00BB457D">
      <w:pPr>
        <w:pStyle w:val="Paragraphedeliste"/>
        <w:spacing w:after="160" w:line="259" w:lineRule="auto"/>
        <w:jc w:val="center"/>
        <w:rPr>
          <w:b/>
          <w:sz w:val="24"/>
          <w:szCs w:val="24"/>
        </w:rPr>
      </w:pPr>
    </w:p>
    <w:p w14:paraId="729AE970" w14:textId="4C05E369" w:rsidR="00BB457D" w:rsidRDefault="00BB457D" w:rsidP="00BB457D">
      <w:pPr>
        <w:tabs>
          <w:tab w:val="left" w:pos="3180"/>
        </w:tabs>
        <w:ind w:left="567"/>
        <w:jc w:val="both"/>
      </w:pPr>
      <w:r>
        <w:t xml:space="preserve">La recherche menée par X </w:t>
      </w:r>
      <w:r w:rsidRPr="00B2725D">
        <w:t>contribue à l’élaboration de bonnes pratiques internationales</w:t>
      </w:r>
      <w:r>
        <w:t>, normes et politiques</w:t>
      </w:r>
      <w:r w:rsidRPr="00B2725D">
        <w:t xml:space="preserve"> en matière d’environnement</w:t>
      </w:r>
      <w:r>
        <w:t> :</w:t>
      </w:r>
    </w:p>
    <w:p w14:paraId="019791F9" w14:textId="77777777" w:rsidR="00BB457D" w:rsidRPr="00BB457D" w:rsidRDefault="00BB457D" w:rsidP="00BB457D">
      <w:pPr>
        <w:pStyle w:val="Paragraphedeliste"/>
        <w:spacing w:after="160" w:line="259" w:lineRule="auto"/>
        <w:jc w:val="center"/>
      </w:pPr>
      <w:r>
        <w:rPr>
          <w:rFonts w:ascii="Calibri" w:eastAsia="Calibri" w:hAnsi="Calibri" w:cs="Times New Roman"/>
          <w:b/>
          <w:sz w:val="24"/>
          <w:szCs w:val="24"/>
        </w:rPr>
        <w:t>Communication grand public</w:t>
      </w:r>
    </w:p>
    <w:p w14:paraId="2EC7BCEC" w14:textId="77777777" w:rsidR="00BB457D" w:rsidRDefault="00BB457D" w:rsidP="00BB457D">
      <w:pPr>
        <w:pStyle w:val="Paragraphedeliste"/>
        <w:spacing w:after="160" w:line="259" w:lineRule="auto"/>
        <w:jc w:val="center"/>
        <w:rPr>
          <w:b/>
          <w:sz w:val="24"/>
          <w:szCs w:val="24"/>
        </w:rPr>
      </w:pPr>
    </w:p>
    <w:p w14:paraId="3FA77DCE" w14:textId="77777777" w:rsidR="00BB457D" w:rsidRDefault="00BB457D" w:rsidP="00BB457D">
      <w:pPr>
        <w:pStyle w:val="Paragraphedeliste"/>
        <w:spacing w:after="160" w:line="259" w:lineRule="auto"/>
        <w:jc w:val="center"/>
        <w:rPr>
          <w:rFonts w:ascii="Calibri" w:eastAsia="Calibri" w:hAnsi="Calibri" w:cs="Times New Roman"/>
          <w:b/>
          <w:sz w:val="24"/>
          <w:szCs w:val="24"/>
        </w:rPr>
      </w:pPr>
      <w:r w:rsidRPr="00901BF2">
        <w:rPr>
          <w:rFonts w:ascii="Calibri" w:eastAsia="Calibri" w:hAnsi="Calibri" w:cs="Times New Roman"/>
          <w:b/>
          <w:sz w:val="24"/>
          <w:szCs w:val="24"/>
        </w:rPr>
        <w:t>Citations dans l’encyclopédie collaborative sous licence libre Wikipédia</w:t>
      </w:r>
    </w:p>
    <w:p w14:paraId="42B970A2" w14:textId="78758986" w:rsidR="00BB457D" w:rsidRPr="00E50C68" w:rsidRDefault="00BB457D" w:rsidP="00BB457D">
      <w:pPr>
        <w:pStyle w:val="Paragraphedeliste"/>
        <w:numPr>
          <w:ilvl w:val="0"/>
          <w:numId w:val="12"/>
        </w:numPr>
        <w:spacing w:after="160" w:line="259" w:lineRule="auto"/>
        <w:jc w:val="both"/>
        <w:rPr>
          <w:rFonts w:ascii="Calibri" w:eastAsia="Calibri" w:hAnsi="Calibri" w:cs="Times New Roman"/>
        </w:rPr>
      </w:pPr>
      <w:r w:rsidRPr="003D51E1">
        <w:rPr>
          <w:rFonts w:ascii="Calibri" w:eastAsia="Calibri" w:hAnsi="Calibri" w:cs="Times New Roman"/>
        </w:rPr>
        <w:t xml:space="preserve">Dans l’entrée encyclopédique pour « </w:t>
      </w:r>
      <w:r>
        <w:rPr>
          <w:rFonts w:ascii="Calibri" w:eastAsia="Calibri" w:hAnsi="Calibri" w:cs="Times New Roman"/>
          <w:b/>
          <w:bCs/>
        </w:rPr>
        <w:t>XXX</w:t>
      </w:r>
      <w:r>
        <w:rPr>
          <w:rFonts w:ascii="Calibri" w:eastAsia="Calibri" w:hAnsi="Calibri" w:cs="Times New Roman"/>
        </w:rPr>
        <w:t xml:space="preserve"> </w:t>
      </w:r>
      <w:r w:rsidRPr="003D51E1">
        <w:rPr>
          <w:rFonts w:ascii="Calibri" w:eastAsia="Calibri" w:hAnsi="Calibri" w:cs="Times New Roman"/>
        </w:rPr>
        <w:t xml:space="preserve">», dans l’encyclopédie généraliste et spécialisée Wikipédia, on retrouve </w:t>
      </w:r>
      <w:r>
        <w:rPr>
          <w:rFonts w:ascii="Calibri" w:eastAsia="Calibri" w:hAnsi="Calibri" w:cs="Times New Roman"/>
        </w:rPr>
        <w:t>une</w:t>
      </w:r>
      <w:r w:rsidRPr="003D51E1">
        <w:rPr>
          <w:rFonts w:ascii="Calibri" w:eastAsia="Calibri" w:hAnsi="Calibri" w:cs="Times New Roman"/>
        </w:rPr>
        <w:t xml:space="preserve"> citation à l’article « </w:t>
      </w:r>
      <w:r>
        <w:rPr>
          <w:rFonts w:ascii="Calibri" w:eastAsia="Calibri" w:hAnsi="Calibri" w:cs="Times New Roman"/>
        </w:rPr>
        <w:t xml:space="preserve">XXXX </w:t>
      </w:r>
      <w:r w:rsidRPr="003D51E1">
        <w:rPr>
          <w:rFonts w:ascii="Calibri" w:eastAsia="Calibri" w:hAnsi="Calibri" w:cs="Times New Roman"/>
        </w:rPr>
        <w:t>» (2</w:t>
      </w:r>
      <w:r>
        <w:rPr>
          <w:rFonts w:ascii="Calibri" w:eastAsia="Calibri" w:hAnsi="Calibri" w:cs="Times New Roman"/>
        </w:rPr>
        <w:t>0XX</w:t>
      </w:r>
      <w:r w:rsidRPr="003D51E1">
        <w:rPr>
          <w:rFonts w:ascii="Calibri" w:eastAsia="Calibri" w:hAnsi="Calibri" w:cs="Times New Roman"/>
        </w:rPr>
        <w:t xml:space="preserve">) de </w:t>
      </w:r>
      <w:r>
        <w:rPr>
          <w:rFonts w:ascii="Calibri" w:eastAsia="Calibri" w:hAnsi="Calibri" w:cs="Times New Roman"/>
        </w:rPr>
        <w:t>X.</w:t>
      </w:r>
      <w:r w:rsidRPr="00E50C68">
        <w:rPr>
          <w:rFonts w:ascii="Calibri" w:eastAsia="Calibri" w:hAnsi="Calibri" w:cs="Times New Roman"/>
        </w:rPr>
        <w:t xml:space="preserve"> </w:t>
      </w:r>
    </w:p>
    <w:p w14:paraId="5F22DFAD" w14:textId="028E090C" w:rsidR="00BB457D" w:rsidRDefault="00BB457D" w:rsidP="00BB457D">
      <w:pPr>
        <w:pStyle w:val="Paragraphedeliste"/>
        <w:numPr>
          <w:ilvl w:val="0"/>
          <w:numId w:val="13"/>
        </w:numPr>
        <w:jc w:val="both"/>
      </w:pPr>
      <w:r w:rsidRPr="007F2BE6">
        <w:rPr>
          <w:rFonts w:ascii="Calibri" w:eastAsia="Calibri" w:hAnsi="Calibri" w:cs="Times New Roman"/>
        </w:rPr>
        <w:t>https://URL :</w:t>
      </w:r>
      <w:r w:rsidRPr="00E50C68">
        <w:t xml:space="preserve"> </w:t>
      </w:r>
      <w:r w:rsidRPr="00BB457D">
        <w:t>lien</w:t>
      </w:r>
      <w:r>
        <w:t xml:space="preserve"> URL</w:t>
      </w:r>
    </w:p>
    <w:p w14:paraId="7189F9FB" w14:textId="77D35930" w:rsidR="00BB457D" w:rsidRDefault="00BB457D" w:rsidP="00BB457D">
      <w:pPr>
        <w:jc w:val="both"/>
      </w:pPr>
      <w:r>
        <w:t>(Image)</w:t>
      </w:r>
    </w:p>
    <w:p w14:paraId="57EBCE1B" w14:textId="521DA00F" w:rsidR="00BB457D" w:rsidRDefault="00BB457D" w:rsidP="00BB457D">
      <w:pPr>
        <w:ind w:left="360"/>
        <w:jc w:val="both"/>
        <w:rPr>
          <w:rFonts w:ascii="Calibri" w:eastAsia="Calibri" w:hAnsi="Calibri" w:cs="Times New Roman"/>
          <w:b/>
          <w:sz w:val="24"/>
        </w:rPr>
      </w:pPr>
    </w:p>
    <w:p w14:paraId="0C4ECEFC" w14:textId="77777777" w:rsidR="00BB457D" w:rsidRPr="002809FC" w:rsidRDefault="00BB457D" w:rsidP="00BB457D">
      <w:pPr>
        <w:ind w:firstLine="708"/>
        <w:jc w:val="both"/>
        <w:rPr>
          <w:rFonts w:ascii="Calibri" w:eastAsia="Calibri" w:hAnsi="Calibri" w:cs="Times New Roman"/>
          <w:sz w:val="2"/>
          <w:szCs w:val="2"/>
          <w:lang w:val="en-CA"/>
        </w:rPr>
      </w:pPr>
    </w:p>
    <w:p w14:paraId="20F859D4" w14:textId="77777777" w:rsidR="00BB457D" w:rsidRPr="00050170" w:rsidRDefault="00BB457D" w:rsidP="00BB457D">
      <w:pPr>
        <w:pStyle w:val="Paragraphedeliste"/>
        <w:spacing w:after="160" w:line="259" w:lineRule="auto"/>
        <w:jc w:val="center"/>
        <w:rPr>
          <w:b/>
          <w:sz w:val="24"/>
          <w:szCs w:val="24"/>
        </w:rPr>
      </w:pPr>
    </w:p>
    <w:p w14:paraId="65602EE2" w14:textId="77777777" w:rsidR="00BB457D" w:rsidRPr="00BB457D" w:rsidRDefault="00BB457D" w:rsidP="00BB457D">
      <w:pPr>
        <w:ind w:left="360"/>
        <w:jc w:val="center"/>
        <w:rPr>
          <w:b/>
          <w:bCs/>
          <w:sz w:val="24"/>
          <w:szCs w:val="24"/>
        </w:rPr>
      </w:pPr>
    </w:p>
    <w:p w14:paraId="6518A3A2" w14:textId="77777777" w:rsidR="00BB457D" w:rsidRDefault="00BB457D" w:rsidP="00BB457D">
      <w:pPr>
        <w:jc w:val="both"/>
      </w:pPr>
    </w:p>
    <w:p w14:paraId="093092A4" w14:textId="77777777" w:rsidR="00BB457D" w:rsidRDefault="00BB457D">
      <w:pPr>
        <w:spacing w:after="160" w:line="259" w:lineRule="auto"/>
        <w:rPr>
          <w:rFonts w:ascii="Calibri" w:eastAsia="Calibri" w:hAnsi="Calibri" w:cs="Times New Roman"/>
          <w:b/>
          <w:sz w:val="24"/>
        </w:rPr>
      </w:pPr>
      <w:r>
        <w:rPr>
          <w:rFonts w:ascii="Calibri" w:eastAsia="Calibri" w:hAnsi="Calibri" w:cs="Times New Roman"/>
          <w:b/>
          <w:sz w:val="24"/>
        </w:rPr>
        <w:br w:type="page"/>
      </w:r>
    </w:p>
    <w:p w14:paraId="1788338D" w14:textId="508B405A" w:rsidR="002D0321" w:rsidRDefault="002D0321" w:rsidP="002D0321">
      <w:pPr>
        <w:pStyle w:val="Paragraphedeliste"/>
        <w:spacing w:after="160" w:line="259" w:lineRule="auto"/>
        <w:jc w:val="center"/>
        <w:rPr>
          <w:rFonts w:ascii="Calibri" w:eastAsia="Calibri" w:hAnsi="Calibri" w:cs="Times New Roman"/>
          <w:b/>
          <w:sz w:val="24"/>
        </w:rPr>
      </w:pPr>
      <w:r w:rsidRPr="00D47671">
        <w:rPr>
          <w:rFonts w:ascii="Calibri" w:eastAsia="Calibri" w:hAnsi="Calibri" w:cs="Times New Roman"/>
          <w:b/>
          <w:sz w:val="24"/>
        </w:rPr>
        <w:lastRenderedPageBreak/>
        <w:t>Thématiques de recherche</w:t>
      </w:r>
    </w:p>
    <w:p w14:paraId="5F2E5840" w14:textId="77777777" w:rsidR="002D0321" w:rsidRDefault="002D0321" w:rsidP="002D0321">
      <w:pPr>
        <w:pStyle w:val="Paragraphedeliste"/>
        <w:spacing w:after="160" w:line="259" w:lineRule="auto"/>
        <w:jc w:val="center"/>
        <w:rPr>
          <w:rFonts w:ascii="Calibri" w:eastAsia="Calibri" w:hAnsi="Calibri" w:cs="Times New Roman"/>
          <w:b/>
          <w:sz w:val="24"/>
        </w:rPr>
      </w:pPr>
    </w:p>
    <w:p w14:paraId="0FFC79A7" w14:textId="77777777" w:rsidR="002D0321" w:rsidRPr="0086341C" w:rsidRDefault="002D0321" w:rsidP="002D0321">
      <w:pPr>
        <w:pStyle w:val="Paragraphedeliste"/>
        <w:numPr>
          <w:ilvl w:val="0"/>
          <w:numId w:val="10"/>
        </w:numPr>
        <w:spacing w:after="0" w:line="240" w:lineRule="auto"/>
        <w:jc w:val="both"/>
      </w:pPr>
      <w:r w:rsidRPr="00976B90">
        <w:rPr>
          <w:rFonts w:cstheme="minorHAnsi"/>
        </w:rPr>
        <w:t xml:space="preserve">Les publications de </w:t>
      </w:r>
      <w:r>
        <w:rPr>
          <w:rFonts w:cstheme="minorHAnsi"/>
        </w:rPr>
        <w:t>X</w:t>
      </w:r>
      <w:r w:rsidRPr="00976B90">
        <w:rPr>
          <w:rFonts w:cstheme="minorHAnsi"/>
        </w:rPr>
        <w:t xml:space="preserve"> parues depuis </w:t>
      </w:r>
      <w:r>
        <w:rPr>
          <w:rFonts w:cstheme="minorHAnsi"/>
        </w:rPr>
        <w:t>XX</w:t>
      </w:r>
      <w:r w:rsidRPr="00976B90">
        <w:rPr>
          <w:rFonts w:cstheme="minorHAnsi"/>
        </w:rPr>
        <w:t xml:space="preserve"> ont contribué à faire avancer la recherche dans </w:t>
      </w:r>
      <w:r>
        <w:rPr>
          <w:rFonts w:cstheme="minorHAnsi"/>
        </w:rPr>
        <w:t>X</w:t>
      </w:r>
      <w:r w:rsidRPr="00976B90">
        <w:rPr>
          <w:rFonts w:cstheme="minorHAnsi"/>
        </w:rPr>
        <w:t xml:space="preserve"> domaines de spécialisation</w:t>
      </w:r>
      <w:r w:rsidRPr="00241DEA">
        <w:rPr>
          <w:vertAlign w:val="superscript"/>
        </w:rPr>
        <w:footnoteReference w:id="2"/>
      </w:r>
      <w:r w:rsidRPr="00976B90">
        <w:rPr>
          <w:rFonts w:cstheme="minorHAnsi"/>
        </w:rPr>
        <w:t xml:space="preserve"> (voir tableau </w:t>
      </w:r>
      <w:r>
        <w:rPr>
          <w:rFonts w:cstheme="minorHAnsi"/>
        </w:rPr>
        <w:t>X</w:t>
      </w:r>
      <w:r w:rsidRPr="00976B90">
        <w:rPr>
          <w:rFonts w:cstheme="minorHAnsi"/>
        </w:rPr>
        <w:t>).  Depuis 20</w:t>
      </w:r>
      <w:r>
        <w:rPr>
          <w:rFonts w:cstheme="minorHAnsi"/>
        </w:rPr>
        <w:t>X</w:t>
      </w:r>
      <w:r w:rsidRPr="00976B90">
        <w:rPr>
          <w:rFonts w:cstheme="minorHAnsi"/>
        </w:rPr>
        <w:t xml:space="preserve">, ses contributions sont plus nombreuses pour le domaine de spécialisation représenté par les termes </w:t>
      </w:r>
      <w:r>
        <w:rPr>
          <w:rFonts w:cstheme="minorHAnsi"/>
          <w:i/>
        </w:rPr>
        <w:t>XXXXX</w:t>
      </w:r>
      <w:r w:rsidRPr="00FA34A5">
        <w:rPr>
          <w:rFonts w:cstheme="minorHAnsi"/>
          <w:i/>
        </w:rPr>
        <w:t xml:space="preserve"> </w:t>
      </w:r>
      <w:r>
        <w:rPr>
          <w:rFonts w:cstheme="minorHAnsi"/>
          <w:i/>
        </w:rPr>
        <w:t>(</w:t>
      </w:r>
      <w:proofErr w:type="gramStart"/>
      <w:r w:rsidRPr="00FA34A5">
        <w:rPr>
          <w:rFonts w:cstheme="minorHAnsi"/>
          <w:i/>
        </w:rPr>
        <w:t>T.</w:t>
      </w:r>
      <w:r>
        <w:rPr>
          <w:rFonts w:cstheme="minorHAnsi"/>
          <w:i/>
        </w:rPr>
        <w:t>XX</w:t>
      </w:r>
      <w:proofErr w:type="gramEnd"/>
      <w:r>
        <w:rPr>
          <w:rFonts w:cstheme="minorHAnsi"/>
          <w:i/>
        </w:rPr>
        <w:t>),</w:t>
      </w:r>
      <w:r w:rsidRPr="00FA34A5">
        <w:rPr>
          <w:rFonts w:cstheme="minorHAnsi"/>
        </w:rPr>
        <w:t xml:space="preserve"> ainsi que pour le domaine</w:t>
      </w:r>
      <w:r w:rsidRPr="00FA34A5">
        <w:t xml:space="preserve"> </w:t>
      </w:r>
      <w:r w:rsidRPr="00FA34A5">
        <w:rPr>
          <w:rFonts w:cstheme="minorHAnsi"/>
        </w:rPr>
        <w:t>représenté par les termes</w:t>
      </w:r>
      <w:r w:rsidRPr="00562EC4">
        <w:rPr>
          <w:rFonts w:cstheme="minorHAnsi"/>
          <w:i/>
        </w:rPr>
        <w:t xml:space="preserve"> </w:t>
      </w:r>
      <w:r>
        <w:rPr>
          <w:rFonts w:cstheme="minorHAnsi"/>
          <w:i/>
        </w:rPr>
        <w:t>XXX</w:t>
      </w:r>
      <w:r w:rsidRPr="00FA34A5">
        <w:rPr>
          <w:rFonts w:cstheme="minorHAnsi"/>
        </w:rPr>
        <w:t xml:space="preserve"> </w:t>
      </w:r>
      <w:r w:rsidRPr="00976B90">
        <w:rPr>
          <w:rFonts w:cstheme="minorHAnsi"/>
        </w:rPr>
        <w:t xml:space="preserve"> </w:t>
      </w:r>
      <w:r w:rsidRPr="00976B90">
        <w:rPr>
          <w:rFonts w:cstheme="minorHAnsi"/>
          <w:i/>
        </w:rPr>
        <w:t>(T.</w:t>
      </w:r>
      <w:r>
        <w:rPr>
          <w:rFonts w:cstheme="minorHAnsi"/>
          <w:i/>
        </w:rPr>
        <w:t>XX).</w:t>
      </w:r>
      <w:r w:rsidRPr="00976B90">
        <w:rPr>
          <w:rFonts w:cstheme="minorHAnsi"/>
          <w:i/>
          <w:color w:val="808080" w:themeColor="background1" w:themeShade="80"/>
        </w:rPr>
        <w:t xml:space="preserve"> </w:t>
      </w:r>
      <w:r w:rsidRPr="00976B90">
        <w:rPr>
          <w:rFonts w:eastAsia="Times New Roman" w:cstheme="minorHAnsi"/>
          <w:bCs/>
          <w:lang w:eastAsia="fr-CA"/>
        </w:rPr>
        <w:t>À l’heure actuelle, ce</w:t>
      </w:r>
      <w:r>
        <w:rPr>
          <w:rFonts w:eastAsia="Times New Roman" w:cstheme="minorHAnsi"/>
          <w:bCs/>
          <w:lang w:eastAsia="fr-CA"/>
        </w:rPr>
        <w:t>s</w:t>
      </w:r>
      <w:r w:rsidRPr="00976B90">
        <w:rPr>
          <w:rFonts w:eastAsia="Times New Roman" w:cstheme="minorHAnsi"/>
          <w:bCs/>
          <w:lang w:eastAsia="fr-CA"/>
        </w:rPr>
        <w:t xml:space="preserve"> domaine</w:t>
      </w:r>
      <w:r>
        <w:rPr>
          <w:rFonts w:eastAsia="Times New Roman" w:cstheme="minorHAnsi"/>
          <w:bCs/>
          <w:lang w:eastAsia="fr-CA"/>
        </w:rPr>
        <w:t>s</w:t>
      </w:r>
      <w:r w:rsidRPr="00976B90">
        <w:rPr>
          <w:rFonts w:eastAsia="Times New Roman" w:cstheme="minorHAnsi"/>
          <w:bCs/>
          <w:lang w:eastAsia="fr-CA"/>
        </w:rPr>
        <w:t xml:space="preserve"> de spécialisation se classe</w:t>
      </w:r>
      <w:r>
        <w:rPr>
          <w:rFonts w:eastAsia="Times New Roman" w:cstheme="minorHAnsi"/>
          <w:bCs/>
          <w:lang w:eastAsia="fr-CA"/>
        </w:rPr>
        <w:t>nt respectivement</w:t>
      </w:r>
      <w:r w:rsidRPr="00976B90">
        <w:rPr>
          <w:rFonts w:eastAsia="Times New Roman" w:cstheme="minorHAnsi"/>
          <w:bCs/>
          <w:lang w:eastAsia="fr-CA"/>
        </w:rPr>
        <w:t xml:space="preserve"> au </w:t>
      </w:r>
      <w:proofErr w:type="spellStart"/>
      <w:r>
        <w:rPr>
          <w:rFonts w:eastAsia="Times New Roman" w:cstheme="minorHAnsi"/>
          <w:bCs/>
          <w:lang w:eastAsia="fr-CA"/>
        </w:rPr>
        <w:t>xx</w:t>
      </w:r>
      <w:r w:rsidRPr="00976B90">
        <w:rPr>
          <w:rFonts w:eastAsia="Times New Roman" w:cstheme="minorHAnsi"/>
          <w:bCs/>
          <w:vertAlign w:val="superscript"/>
          <w:lang w:eastAsia="fr-CA"/>
        </w:rPr>
        <w:t>e</w:t>
      </w:r>
      <w:proofErr w:type="spellEnd"/>
      <w:r w:rsidRPr="00976B90">
        <w:rPr>
          <w:rFonts w:eastAsia="Times New Roman" w:cstheme="minorHAnsi"/>
          <w:bCs/>
          <w:lang w:eastAsia="fr-CA"/>
        </w:rPr>
        <w:t xml:space="preserve"> centile</w:t>
      </w:r>
      <w:r w:rsidRPr="000544BA">
        <w:rPr>
          <w:rFonts w:eastAsia="Times New Roman"/>
          <w:bCs/>
          <w:vertAlign w:val="superscript"/>
          <w:lang w:eastAsia="fr-CA"/>
        </w:rPr>
        <w:footnoteReference w:id="3"/>
      </w:r>
      <w:r>
        <w:rPr>
          <w:rFonts w:eastAsia="Times New Roman" w:cstheme="minorHAnsi"/>
          <w:bCs/>
          <w:lang w:eastAsia="fr-CA"/>
        </w:rPr>
        <w:t xml:space="preserve"> et au </w:t>
      </w:r>
      <w:proofErr w:type="spellStart"/>
      <w:r>
        <w:rPr>
          <w:rFonts w:eastAsia="Times New Roman" w:cstheme="minorHAnsi"/>
          <w:bCs/>
          <w:lang w:eastAsia="fr-CA"/>
        </w:rPr>
        <w:t>xx</w:t>
      </w:r>
      <w:r w:rsidRPr="00FA34A5">
        <w:rPr>
          <w:rFonts w:eastAsia="Times New Roman" w:cstheme="minorHAnsi"/>
          <w:bCs/>
          <w:vertAlign w:val="superscript"/>
          <w:lang w:eastAsia="fr-CA"/>
        </w:rPr>
        <w:t>e</w:t>
      </w:r>
      <w:proofErr w:type="spellEnd"/>
      <w:r>
        <w:rPr>
          <w:rFonts w:eastAsia="Times New Roman" w:cstheme="minorHAnsi"/>
          <w:bCs/>
          <w:lang w:eastAsia="fr-CA"/>
        </w:rPr>
        <w:t xml:space="preserve"> centile.</w:t>
      </w:r>
      <w:r w:rsidRPr="00976B90">
        <w:rPr>
          <w:rFonts w:eastAsia="Times New Roman" w:cstheme="minorHAnsi"/>
          <w:bCs/>
          <w:lang w:eastAsia="fr-CA"/>
        </w:rPr>
        <w:t xml:space="preserve">  Il s’agirait donc de sujets les plus dynamiques en recherche, selon les données de Scopus.  </w:t>
      </w:r>
    </w:p>
    <w:p w14:paraId="21BA528E" w14:textId="77777777" w:rsidR="002D0321" w:rsidRDefault="002D0321" w:rsidP="002D0321">
      <w:pPr>
        <w:ind w:left="360"/>
        <w:jc w:val="center"/>
      </w:pPr>
    </w:p>
    <w:p w14:paraId="3FA7A1B7" w14:textId="27765E2B" w:rsidR="002D0321" w:rsidRDefault="002D0321" w:rsidP="002D0321">
      <w:pPr>
        <w:ind w:left="360"/>
        <w:jc w:val="center"/>
      </w:pPr>
      <w:r>
        <w:t>(</w:t>
      </w:r>
      <w:proofErr w:type="gramStart"/>
      <w:r>
        <w:t>tableau</w:t>
      </w:r>
      <w:proofErr w:type="gramEnd"/>
      <w:r>
        <w:t>)</w:t>
      </w:r>
    </w:p>
    <w:p w14:paraId="03076121" w14:textId="4D25E9BB" w:rsidR="00BB457D" w:rsidRDefault="00BB457D" w:rsidP="002D0321">
      <w:pPr>
        <w:ind w:left="360"/>
        <w:jc w:val="center"/>
      </w:pPr>
    </w:p>
    <w:p w14:paraId="4284945C" w14:textId="77777777" w:rsidR="00BB457D" w:rsidRDefault="00BB457D" w:rsidP="002D0321">
      <w:pPr>
        <w:ind w:left="360"/>
        <w:jc w:val="center"/>
      </w:pPr>
    </w:p>
    <w:p w14:paraId="63D3AC72" w14:textId="77777777" w:rsidR="002D0321" w:rsidRPr="00F877A7" w:rsidRDefault="002D0321" w:rsidP="002D0321">
      <w:pPr>
        <w:pStyle w:val="Paragraphedeliste"/>
      </w:pPr>
    </w:p>
    <w:p w14:paraId="1AA05F1F" w14:textId="77777777" w:rsidR="002D0321" w:rsidRDefault="002D0321" w:rsidP="002D0321">
      <w:pPr>
        <w:ind w:left="360"/>
        <w:jc w:val="center"/>
      </w:pPr>
    </w:p>
    <w:p w14:paraId="4CFE3654" w14:textId="77777777" w:rsidR="002E3F6B" w:rsidRPr="002E3F6B" w:rsidRDefault="002E3F6B" w:rsidP="002E3F6B">
      <w:pPr>
        <w:jc w:val="right"/>
        <w:rPr>
          <w:rFonts w:ascii="Calibri" w:eastAsia="Calibri" w:hAnsi="Calibri" w:cs="Times New Roman"/>
          <w:sz w:val="2"/>
          <w:szCs w:val="2"/>
        </w:rPr>
      </w:pPr>
    </w:p>
    <w:sectPr w:rsidR="002E3F6B" w:rsidRPr="002E3F6B" w:rsidSect="00B515EF">
      <w:endnotePr>
        <w:numFmt w:val="decimal"/>
      </w:endnotePr>
      <w:type w:val="continuous"/>
      <w:pgSz w:w="12240" w:h="15840"/>
      <w:pgMar w:top="378" w:right="720" w:bottom="720" w:left="720" w:header="1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97B96" w14:textId="77777777" w:rsidR="00276775" w:rsidRDefault="00276775" w:rsidP="00F16E5C">
      <w:pPr>
        <w:spacing w:after="0" w:line="240" w:lineRule="auto"/>
      </w:pPr>
      <w:r>
        <w:separator/>
      </w:r>
    </w:p>
  </w:endnote>
  <w:endnote w:type="continuationSeparator" w:id="0">
    <w:p w14:paraId="341E1796" w14:textId="77777777" w:rsidR="00276775" w:rsidRDefault="00276775" w:rsidP="00F16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5CBA" w14:textId="77777777" w:rsidR="00D61230" w:rsidRDefault="00D6123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6151" w14:textId="16A04689" w:rsidR="00261C48" w:rsidRPr="00F419C6" w:rsidRDefault="00261C48">
    <w:pPr>
      <w:pStyle w:val="Pieddepage"/>
      <w:rPr>
        <w:i/>
        <w:sz w:val="18"/>
        <w:szCs w:val="18"/>
      </w:rPr>
    </w:pPr>
    <w:r w:rsidRPr="00261C48">
      <w:rPr>
        <w:sz w:val="18"/>
        <w:szCs w:val="18"/>
      </w:rPr>
      <w:t xml:space="preserve">Source des données : </w:t>
    </w:r>
    <w:r w:rsidRPr="00261C48">
      <w:rPr>
        <w:i/>
        <w:sz w:val="18"/>
        <w:szCs w:val="18"/>
      </w:rPr>
      <w:t xml:space="preserve">Scopus et </w:t>
    </w:r>
    <w:proofErr w:type="spellStart"/>
    <w:r w:rsidR="0098164E">
      <w:rPr>
        <w:i/>
        <w:sz w:val="18"/>
        <w:szCs w:val="18"/>
      </w:rPr>
      <w:t>SciVal</w:t>
    </w:r>
    <w:proofErr w:type="spellEnd"/>
    <w:r w:rsidR="0098164E">
      <w:rPr>
        <w:i/>
        <w:sz w:val="18"/>
        <w:szCs w:val="18"/>
      </w:rPr>
      <w:t xml:space="preserve">, </w:t>
    </w:r>
    <w:r w:rsidR="00E764AD">
      <w:rPr>
        <w:i/>
        <w:sz w:val="18"/>
        <w:szCs w:val="18"/>
      </w:rPr>
      <w:t>données collecté</w:t>
    </w:r>
    <w:r w:rsidR="003213A3">
      <w:rPr>
        <w:i/>
        <w:sz w:val="18"/>
        <w:szCs w:val="18"/>
      </w:rPr>
      <w:t>e</w:t>
    </w:r>
    <w:r w:rsidR="00E764AD">
      <w:rPr>
        <w:i/>
        <w:sz w:val="18"/>
        <w:szCs w:val="18"/>
      </w:rPr>
      <w:t xml:space="preserve">s le </w:t>
    </w:r>
    <w:r w:rsidR="00D61230">
      <w:rPr>
        <w:i/>
        <w:sz w:val="18"/>
        <w:szCs w:val="18"/>
      </w:rPr>
      <w:t>30 août</w:t>
    </w:r>
    <w:r w:rsidR="003C78AC">
      <w:rPr>
        <w:i/>
        <w:sz w:val="18"/>
        <w:szCs w:val="18"/>
      </w:rPr>
      <w:t xml:space="preserve"> </w:t>
    </w:r>
    <w:r w:rsidR="00D04A51">
      <w:rPr>
        <w:i/>
        <w:sz w:val="18"/>
        <w:szCs w:val="18"/>
      </w:rPr>
      <w:t>20</w:t>
    </w:r>
    <w:r w:rsidR="00B0267F">
      <w:rPr>
        <w:i/>
        <w:sz w:val="18"/>
        <w:szCs w:val="18"/>
      </w:rPr>
      <w:t>2</w:t>
    </w:r>
    <w:r w:rsidR="00D61230">
      <w:rPr>
        <w:i/>
        <w:sz w:val="18"/>
        <w:szCs w:val="18"/>
      </w:rPr>
      <w:t>2</w:t>
    </w:r>
    <w:r w:rsidR="00290BDD" w:rsidRPr="00B0267F">
      <w:rPr>
        <w:i/>
        <w:sz w:val="18"/>
        <w:szCs w:val="18"/>
        <w:highlight w:val="yellow"/>
      </w:rPr>
      <w:t xml:space="preserve">, mis à jour le </w:t>
    </w:r>
    <w:r w:rsidR="006D17EC" w:rsidRPr="00B0267F">
      <w:rPr>
        <w:i/>
        <w:sz w:val="18"/>
        <w:szCs w:val="18"/>
        <w:highlight w:val="yellow"/>
      </w:rPr>
      <w:t>XX</w:t>
    </w:r>
    <w:r w:rsidR="00B0267F" w:rsidRPr="00B0267F">
      <w:rPr>
        <w:i/>
        <w:sz w:val="18"/>
        <w:szCs w:val="18"/>
        <w:highlight w:val="yellow"/>
      </w:rPr>
      <w:t xml:space="preserve"> </w:t>
    </w:r>
    <w:r w:rsidR="00D61230">
      <w:rPr>
        <w:i/>
        <w:sz w:val="18"/>
        <w:szCs w:val="18"/>
        <w:highlight w:val="yellow"/>
      </w:rPr>
      <w:t xml:space="preserve">août 2022        </w:t>
    </w:r>
    <w:r w:rsidR="00925023">
      <w:rPr>
        <w:i/>
        <w:sz w:val="18"/>
        <w:szCs w:val="18"/>
      </w:rPr>
      <w:t xml:space="preserve">                                                              </w:t>
    </w:r>
    <w:r w:rsidR="00925023" w:rsidRPr="00925023">
      <w:rPr>
        <w:sz w:val="18"/>
        <w:szCs w:val="18"/>
      </w:rPr>
      <w:fldChar w:fldCharType="begin"/>
    </w:r>
    <w:r w:rsidR="00925023" w:rsidRPr="00925023">
      <w:rPr>
        <w:sz w:val="18"/>
        <w:szCs w:val="18"/>
      </w:rPr>
      <w:instrText>PAGE   \* MERGEFORMAT</w:instrText>
    </w:r>
    <w:r w:rsidR="00925023" w:rsidRPr="00925023">
      <w:rPr>
        <w:sz w:val="18"/>
        <w:szCs w:val="18"/>
      </w:rPr>
      <w:fldChar w:fldCharType="separate"/>
    </w:r>
    <w:r w:rsidR="00925023" w:rsidRPr="00925023">
      <w:rPr>
        <w:sz w:val="18"/>
        <w:szCs w:val="18"/>
        <w:lang w:val="fr-FR"/>
      </w:rPr>
      <w:t>1</w:t>
    </w:r>
    <w:r w:rsidR="00925023" w:rsidRPr="00925023">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CAE3" w14:textId="77777777" w:rsidR="00D61230" w:rsidRDefault="00D61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2DDF" w14:textId="77777777" w:rsidR="00276775" w:rsidRDefault="00276775" w:rsidP="00F16E5C">
      <w:pPr>
        <w:spacing w:after="0" w:line="240" w:lineRule="auto"/>
      </w:pPr>
      <w:r>
        <w:separator/>
      </w:r>
    </w:p>
  </w:footnote>
  <w:footnote w:type="continuationSeparator" w:id="0">
    <w:p w14:paraId="77897218" w14:textId="77777777" w:rsidR="00276775" w:rsidRDefault="00276775" w:rsidP="00F16E5C">
      <w:pPr>
        <w:spacing w:after="0" w:line="240" w:lineRule="auto"/>
      </w:pPr>
      <w:r>
        <w:continuationSeparator/>
      </w:r>
    </w:p>
  </w:footnote>
  <w:footnote w:id="1">
    <w:p w14:paraId="2CB6006E" w14:textId="77777777" w:rsidR="00BB457D" w:rsidRDefault="00BB457D" w:rsidP="00BB457D">
      <w:pPr>
        <w:pStyle w:val="Notedebasdepage"/>
      </w:pPr>
      <w:r>
        <w:rPr>
          <w:rStyle w:val="Appelnotedebasdep"/>
        </w:rPr>
        <w:footnoteRef/>
      </w:r>
      <w:r>
        <w:t xml:space="preserve"> Classées par nombre décroissant de citations.</w:t>
      </w:r>
    </w:p>
  </w:footnote>
  <w:footnote w:id="2">
    <w:p w14:paraId="4A8B74C5" w14:textId="77777777" w:rsidR="002D0321" w:rsidRDefault="002D0321" w:rsidP="002D0321">
      <w:pPr>
        <w:pStyle w:val="Notedebasdepage"/>
        <w:jc w:val="both"/>
      </w:pPr>
      <w:r>
        <w:rPr>
          <w:rStyle w:val="Appelnotedebasdep"/>
        </w:rPr>
        <w:footnoteRef/>
      </w:r>
      <w:r>
        <w:t xml:space="preserve"> </w:t>
      </w:r>
      <w:r w:rsidRPr="00E5175B">
        <w:t>Les publications récentes indexées dans la base de données bibliométriques sont regroupées par domaines de spécialisation (</w:t>
      </w:r>
      <w:r w:rsidRPr="00672BB9">
        <w:rPr>
          <w:i/>
        </w:rPr>
        <w:t xml:space="preserve">Topic </w:t>
      </w:r>
      <w:r w:rsidRPr="00E5175B">
        <w:t xml:space="preserve">en anglais). Les documents regroupés au sein d’un même domaine de spécialisation le sont sur la base des documents qu’ils citent et dans lesquels ils sont cités.  Ces ensembles de documents ainsi formés sont identifiés à l’aide des trois principaux termes ou concepts extraits du corpus de textes.   </w:t>
      </w:r>
    </w:p>
  </w:footnote>
  <w:footnote w:id="3">
    <w:p w14:paraId="630B7DDC" w14:textId="77777777" w:rsidR="002D0321" w:rsidRDefault="002D0321" w:rsidP="002D0321">
      <w:pPr>
        <w:pStyle w:val="Notedebasdepage"/>
        <w:jc w:val="both"/>
      </w:pPr>
      <w:r>
        <w:rPr>
          <w:rStyle w:val="Appelnotedebasdep"/>
        </w:rPr>
        <w:footnoteRef/>
      </w:r>
      <w:r>
        <w:t xml:space="preserve"> Le </w:t>
      </w:r>
      <w:hyperlink r:id="rId1" w:history="1">
        <w:r w:rsidRPr="00720F61">
          <w:rPr>
            <w:rStyle w:val="Lienhypertexte"/>
          </w:rPr>
          <w:t>calcul du rang centile</w:t>
        </w:r>
      </w:hyperlink>
      <w:r>
        <w:t xml:space="preserve"> tient compte du nombre de citations reçues par les documents </w:t>
      </w:r>
      <w:r w:rsidRPr="00A31A8A">
        <w:t>qui composent chacun des ensembles</w:t>
      </w:r>
      <w:r>
        <w:t xml:space="preserve"> de textes</w:t>
      </w:r>
      <w:r w:rsidRPr="00A31A8A">
        <w:t xml:space="preserve"> </w:t>
      </w:r>
      <w:r>
        <w:t>regroupés par domaines de spécialisation, de la moyenne des valeurs de l’indicateur CiteScore des revues dans lesquelles sont parues les documents de l’ensemble, ainsi que du nombre de fois que les pages des résumés de ces documents ont été consultées dans la base de données Scopus.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0A249" w14:textId="77777777" w:rsidR="00D61230" w:rsidRDefault="00D6123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C94B" w14:textId="77777777" w:rsidR="00F16E5C" w:rsidRDefault="00F16E5C"/>
  <w:tbl>
    <w:tblPr>
      <w:tblStyle w:val="Grilledutableau"/>
      <w:tblW w:w="1036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4687"/>
      <w:gridCol w:w="2993"/>
    </w:tblGrid>
    <w:tr w:rsidR="00227667" w14:paraId="6F75D0FC" w14:textId="77777777" w:rsidTr="00227667">
      <w:tc>
        <w:tcPr>
          <w:tcW w:w="2688" w:type="dxa"/>
        </w:tcPr>
        <w:p w14:paraId="51840B86" w14:textId="77777777" w:rsidR="00227667" w:rsidRDefault="00227667" w:rsidP="001F0E68">
          <w:pPr>
            <w:pStyle w:val="En-tte"/>
            <w:ind w:left="29"/>
            <w:rPr>
              <w:rFonts w:ascii="Open Sans" w:hAnsi="Open Sans" w:cs="Open Sans"/>
              <w:b/>
            </w:rPr>
          </w:pPr>
          <w:r w:rsidRPr="00227667">
            <w:rPr>
              <w:rFonts w:ascii="Open Sans" w:hAnsi="Open Sans" w:cs="Open Sans"/>
              <w:b/>
            </w:rPr>
            <w:t>Fiche Bibliométrique</w:t>
          </w:r>
        </w:p>
        <w:p w14:paraId="51BB063F" w14:textId="6B6EA123" w:rsidR="00227667" w:rsidRDefault="00332547" w:rsidP="00B019CA">
          <w:pPr>
            <w:pStyle w:val="En-tte"/>
            <w:ind w:left="29"/>
            <w:rPr>
              <w:rFonts w:ascii="Open Sans" w:hAnsi="Open Sans" w:cs="Open Sans"/>
              <w:b/>
            </w:rPr>
          </w:pPr>
          <w:r>
            <w:rPr>
              <w:rFonts w:ascii="Open Sans" w:hAnsi="Open Sans" w:cs="Open Sans"/>
              <w:b/>
              <w:color w:val="C00000"/>
            </w:rPr>
            <w:t>Prénom Nom</w:t>
          </w:r>
        </w:p>
      </w:tc>
      <w:tc>
        <w:tcPr>
          <w:tcW w:w="4689" w:type="dxa"/>
        </w:tcPr>
        <w:p w14:paraId="0EEB6E50" w14:textId="493D596F" w:rsidR="00227667" w:rsidRDefault="00227667" w:rsidP="00227667">
          <w:pPr>
            <w:pStyle w:val="En-tte"/>
            <w:rPr>
              <w:rFonts w:ascii="Open Sans" w:hAnsi="Open Sans" w:cs="Open Sans"/>
              <w:sz w:val="16"/>
              <w:szCs w:val="16"/>
            </w:rPr>
          </w:pPr>
          <w:r w:rsidRPr="00227667">
            <w:rPr>
              <w:rFonts w:ascii="Open Sans" w:hAnsi="Open Sans" w:cs="Open Sans"/>
              <w:sz w:val="16"/>
              <w:szCs w:val="16"/>
            </w:rPr>
            <w:t>Département de génie</w:t>
          </w:r>
          <w:r w:rsidR="00B0267F">
            <w:rPr>
              <w:rFonts w:ascii="Open Sans" w:hAnsi="Open Sans" w:cs="Open Sans"/>
              <w:sz w:val="16"/>
              <w:szCs w:val="16"/>
            </w:rPr>
            <w:t xml:space="preserve"> </w:t>
          </w:r>
        </w:p>
        <w:p w14:paraId="78F3BB37" w14:textId="7209F9D0" w:rsidR="00227667" w:rsidRDefault="00226356" w:rsidP="00227667">
          <w:pPr>
            <w:pStyle w:val="En-tte"/>
            <w:rPr>
              <w:rFonts w:ascii="Open Sans" w:hAnsi="Open Sans" w:cs="Open Sans"/>
              <w:sz w:val="16"/>
              <w:szCs w:val="16"/>
            </w:rPr>
          </w:pPr>
          <w:r>
            <w:rPr>
              <w:rFonts w:ascii="Open Sans" w:hAnsi="Open Sans" w:cs="Open Sans"/>
              <w:sz w:val="16"/>
              <w:szCs w:val="16"/>
            </w:rPr>
            <w:t>Bureau : A-</w:t>
          </w:r>
          <w:r w:rsidR="00332547">
            <w:rPr>
              <w:rFonts w:ascii="Open Sans" w:hAnsi="Open Sans" w:cs="Open Sans"/>
              <w:sz w:val="16"/>
              <w:szCs w:val="16"/>
            </w:rPr>
            <w:t>XXXX</w:t>
          </w:r>
        </w:p>
        <w:p w14:paraId="39622A1D" w14:textId="1934ED54" w:rsidR="00227667" w:rsidRDefault="00226356" w:rsidP="00227667">
          <w:pPr>
            <w:pStyle w:val="En-tte"/>
            <w:rPr>
              <w:rFonts w:ascii="Open Sans" w:hAnsi="Open Sans" w:cs="Open Sans"/>
              <w:sz w:val="16"/>
              <w:szCs w:val="16"/>
            </w:rPr>
          </w:pPr>
          <w:r>
            <w:rPr>
              <w:rFonts w:ascii="Open Sans" w:hAnsi="Open Sans" w:cs="Open Sans"/>
              <w:sz w:val="16"/>
              <w:szCs w:val="16"/>
            </w:rPr>
            <w:t>Téléphone : 514-396-</w:t>
          </w:r>
          <w:r w:rsidR="00332547">
            <w:rPr>
              <w:rFonts w:ascii="Open Sans" w:hAnsi="Open Sans" w:cs="Open Sans"/>
              <w:sz w:val="16"/>
              <w:szCs w:val="16"/>
            </w:rPr>
            <w:t>XXXX</w:t>
          </w:r>
        </w:p>
        <w:p w14:paraId="05F65B34" w14:textId="10E3F125" w:rsidR="00227667" w:rsidRPr="00227667" w:rsidRDefault="00341F07" w:rsidP="007045DC">
          <w:pPr>
            <w:pStyle w:val="En-tte"/>
            <w:rPr>
              <w:rFonts w:ascii="Open Sans" w:hAnsi="Open Sans" w:cs="Open Sans"/>
              <w:sz w:val="16"/>
              <w:szCs w:val="16"/>
            </w:rPr>
          </w:pPr>
          <w:r>
            <w:rPr>
              <w:rFonts w:ascii="Open Sans" w:hAnsi="Open Sans" w:cs="Open Sans"/>
              <w:sz w:val="16"/>
              <w:szCs w:val="16"/>
            </w:rPr>
            <w:t xml:space="preserve">Courriel : </w:t>
          </w:r>
          <w:hyperlink r:id="rId1" w:history="1">
            <w:r w:rsidR="00B0267F" w:rsidRPr="00E83564">
              <w:rPr>
                <w:rStyle w:val="Lienhypertexte"/>
                <w:rFonts w:ascii="Open Sans" w:hAnsi="Open Sans" w:cs="Open Sans"/>
                <w:sz w:val="16"/>
                <w:szCs w:val="16"/>
              </w:rPr>
              <w:t>@etsmtl.ca</w:t>
            </w:r>
          </w:hyperlink>
          <w:r w:rsidR="00580A63">
            <w:rPr>
              <w:rFonts w:ascii="Open Sans" w:hAnsi="Open Sans" w:cs="Open Sans"/>
              <w:sz w:val="16"/>
              <w:szCs w:val="16"/>
            </w:rPr>
            <w:t xml:space="preserve"> </w:t>
          </w:r>
        </w:p>
      </w:tc>
      <w:tc>
        <w:tcPr>
          <w:tcW w:w="2991" w:type="dxa"/>
        </w:tcPr>
        <w:p w14:paraId="57158400" w14:textId="77777777" w:rsidR="00227667" w:rsidRDefault="00227667" w:rsidP="00227667">
          <w:pPr>
            <w:pStyle w:val="En-tte"/>
            <w:ind w:left="179" w:hanging="179"/>
            <w:rPr>
              <w:rFonts w:ascii="Open Sans" w:hAnsi="Open Sans" w:cs="Open Sans"/>
              <w:b/>
            </w:rPr>
          </w:pPr>
          <w:r>
            <w:rPr>
              <w:rFonts w:ascii="Open Sans" w:hAnsi="Open Sans" w:cs="Open Sans"/>
              <w:b/>
              <w:noProof/>
              <w:lang w:eastAsia="fr-CA"/>
            </w:rPr>
            <w:drawing>
              <wp:inline distT="0" distB="0" distL="0" distR="0" wp14:anchorId="3BAD58BB" wp14:editId="0431C7E4">
                <wp:extent cx="1764020" cy="208600"/>
                <wp:effectExtent l="0" t="0" r="0" b="1270"/>
                <wp:docPr id="301" name="Imag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31115" cy="216534"/>
                        </a:xfrm>
                        <a:prstGeom prst="rect">
                          <a:avLst/>
                        </a:prstGeom>
                        <a:noFill/>
                      </pic:spPr>
                    </pic:pic>
                  </a:graphicData>
                </a:graphic>
              </wp:inline>
            </w:drawing>
          </w:r>
        </w:p>
      </w:tc>
    </w:tr>
  </w:tbl>
  <w:p w14:paraId="15DF3D59" w14:textId="77777777" w:rsidR="00227667" w:rsidRPr="00261C48" w:rsidRDefault="00227667">
    <w:pPr>
      <w:pStyle w:val="En-tte"/>
      <w:rPr>
        <w:rFonts w:ascii="Open Sans" w:hAnsi="Open Sans" w:cs="Open San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CE31" w14:textId="77777777" w:rsidR="00D61230" w:rsidRDefault="00D612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48pt;height:12pt;visibility:visible" o:bullet="t">
        <v:imagedata r:id="rId1" o:title=""/>
      </v:shape>
    </w:pict>
  </w:numPicBullet>
  <w:numPicBullet w:numPicBulletId="1">
    <w:pict>
      <v:shape id="_x0000_i1137" type="#_x0000_t75" style="width:24pt;height:37.5pt;visibility:visible" o:bullet="t">
        <v:imagedata r:id="rId2" o:title=""/>
      </v:shape>
    </w:pict>
  </w:numPicBullet>
  <w:abstractNum w:abstractNumId="0" w15:restartNumberingAfterBreak="0">
    <w:nsid w:val="05DA3616"/>
    <w:multiLevelType w:val="hybridMultilevel"/>
    <w:tmpl w:val="8E002C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4F7B5D"/>
    <w:multiLevelType w:val="hybridMultilevel"/>
    <w:tmpl w:val="1EECA49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D6C1A1A"/>
    <w:multiLevelType w:val="hybridMultilevel"/>
    <w:tmpl w:val="3BFA4E4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9B2010C"/>
    <w:multiLevelType w:val="hybridMultilevel"/>
    <w:tmpl w:val="F2B84586"/>
    <w:lvl w:ilvl="0" w:tplc="3062A6EA">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8904EF2"/>
    <w:multiLevelType w:val="hybridMultilevel"/>
    <w:tmpl w:val="AA2849D0"/>
    <w:lvl w:ilvl="0" w:tplc="F07A2E26">
      <w:numFmt w:val="bullet"/>
      <w:lvlText w:val="-"/>
      <w:lvlJc w:val="left"/>
      <w:pPr>
        <w:ind w:left="720" w:hanging="360"/>
      </w:pPr>
      <w:rPr>
        <w:rFonts w:ascii="Calibri" w:eastAsiaTheme="minorHAns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35B60DB"/>
    <w:multiLevelType w:val="hybridMultilevel"/>
    <w:tmpl w:val="DCDA4F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43C67FB"/>
    <w:multiLevelType w:val="hybridMultilevel"/>
    <w:tmpl w:val="CBC82F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2C62C64"/>
    <w:multiLevelType w:val="hybridMultilevel"/>
    <w:tmpl w:val="8C7AA016"/>
    <w:lvl w:ilvl="0" w:tplc="0C0C0001">
      <w:start w:val="1"/>
      <w:numFmt w:val="bullet"/>
      <w:lvlText w:val=""/>
      <w:lvlJc w:val="left"/>
      <w:pPr>
        <w:ind w:left="720" w:hanging="360"/>
      </w:pPr>
      <w:rPr>
        <w:rFonts w:ascii="Symbol" w:hAnsi="Symbol"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7A6466C"/>
    <w:multiLevelType w:val="hybridMultilevel"/>
    <w:tmpl w:val="6E9E36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7B218AD"/>
    <w:multiLevelType w:val="hybridMultilevel"/>
    <w:tmpl w:val="055882B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38E7E14"/>
    <w:multiLevelType w:val="hybridMultilevel"/>
    <w:tmpl w:val="5AA61A32"/>
    <w:lvl w:ilvl="0" w:tplc="769A6A12">
      <w:start w:val="1"/>
      <w:numFmt w:val="bullet"/>
      <w:lvlText w:val=""/>
      <w:lvlJc w:val="left"/>
      <w:pPr>
        <w:ind w:left="1080" w:hanging="360"/>
      </w:pPr>
      <w:rPr>
        <w:rFonts w:ascii="Symbol" w:hAnsi="Symbol" w:hint="default"/>
        <w:color w:val="auto"/>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789D67CD"/>
    <w:multiLevelType w:val="hybridMultilevel"/>
    <w:tmpl w:val="37460528"/>
    <w:lvl w:ilvl="0" w:tplc="D3F4E474">
      <w:start w:val="1"/>
      <w:numFmt w:val="bullet"/>
      <w:lvlText w:val=""/>
      <w:lvlJc w:val="left"/>
      <w:pPr>
        <w:ind w:left="720" w:hanging="360"/>
      </w:pPr>
      <w:rPr>
        <w:rFonts w:ascii="Symbol" w:hAnsi="Symbol"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EC06BA9"/>
    <w:multiLevelType w:val="hybridMultilevel"/>
    <w:tmpl w:val="DF985E1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2"/>
  </w:num>
  <w:num w:numId="4">
    <w:abstractNumId w:val="9"/>
  </w:num>
  <w:num w:numId="5">
    <w:abstractNumId w:val="11"/>
  </w:num>
  <w:num w:numId="6">
    <w:abstractNumId w:val="6"/>
  </w:num>
  <w:num w:numId="7">
    <w:abstractNumId w:val="2"/>
  </w:num>
  <w:num w:numId="8">
    <w:abstractNumId w:val="0"/>
  </w:num>
  <w:num w:numId="9">
    <w:abstractNumId w:val="8"/>
  </w:num>
  <w:num w:numId="10">
    <w:abstractNumId w:val="7"/>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5C"/>
    <w:rsid w:val="000011BB"/>
    <w:rsid w:val="00022A1F"/>
    <w:rsid w:val="00023F3D"/>
    <w:rsid w:val="00025B71"/>
    <w:rsid w:val="00027AF3"/>
    <w:rsid w:val="00034DAF"/>
    <w:rsid w:val="000419DB"/>
    <w:rsid w:val="00043078"/>
    <w:rsid w:val="000477EF"/>
    <w:rsid w:val="00050EC2"/>
    <w:rsid w:val="00061127"/>
    <w:rsid w:val="00064A24"/>
    <w:rsid w:val="00083A03"/>
    <w:rsid w:val="0009178C"/>
    <w:rsid w:val="000953AF"/>
    <w:rsid w:val="0009751B"/>
    <w:rsid w:val="000B3E75"/>
    <w:rsid w:val="000B4B5A"/>
    <w:rsid w:val="000B68DF"/>
    <w:rsid w:val="000C08AA"/>
    <w:rsid w:val="000C4287"/>
    <w:rsid w:val="000C4E2C"/>
    <w:rsid w:val="000D295B"/>
    <w:rsid w:val="000D7C70"/>
    <w:rsid w:val="000E094A"/>
    <w:rsid w:val="000E0A3D"/>
    <w:rsid w:val="001000EC"/>
    <w:rsid w:val="001124C9"/>
    <w:rsid w:val="00121DE0"/>
    <w:rsid w:val="00123925"/>
    <w:rsid w:val="001251A1"/>
    <w:rsid w:val="0012520E"/>
    <w:rsid w:val="00131533"/>
    <w:rsid w:val="001357BE"/>
    <w:rsid w:val="001364EE"/>
    <w:rsid w:val="001416F2"/>
    <w:rsid w:val="001443B3"/>
    <w:rsid w:val="00153937"/>
    <w:rsid w:val="00154A41"/>
    <w:rsid w:val="001602CC"/>
    <w:rsid w:val="00163D8A"/>
    <w:rsid w:val="00171E51"/>
    <w:rsid w:val="001919F0"/>
    <w:rsid w:val="00196424"/>
    <w:rsid w:val="001A7744"/>
    <w:rsid w:val="001B3023"/>
    <w:rsid w:val="001B7D37"/>
    <w:rsid w:val="001C0A9A"/>
    <w:rsid w:val="001C1191"/>
    <w:rsid w:val="001D449B"/>
    <w:rsid w:val="001D50DB"/>
    <w:rsid w:val="001E0080"/>
    <w:rsid w:val="001F0E68"/>
    <w:rsid w:val="002019CE"/>
    <w:rsid w:val="002047C0"/>
    <w:rsid w:val="00217808"/>
    <w:rsid w:val="00221ACB"/>
    <w:rsid w:val="00226356"/>
    <w:rsid w:val="00227667"/>
    <w:rsid w:val="002300CB"/>
    <w:rsid w:val="002321A2"/>
    <w:rsid w:val="00241496"/>
    <w:rsid w:val="002415F7"/>
    <w:rsid w:val="00241DEA"/>
    <w:rsid w:val="002447DD"/>
    <w:rsid w:val="00256135"/>
    <w:rsid w:val="00261C48"/>
    <w:rsid w:val="00266F39"/>
    <w:rsid w:val="00271720"/>
    <w:rsid w:val="002750BB"/>
    <w:rsid w:val="002765A1"/>
    <w:rsid w:val="00276775"/>
    <w:rsid w:val="0028440C"/>
    <w:rsid w:val="0028478A"/>
    <w:rsid w:val="00286F4B"/>
    <w:rsid w:val="00290BDD"/>
    <w:rsid w:val="0029175B"/>
    <w:rsid w:val="0029567E"/>
    <w:rsid w:val="002A0E42"/>
    <w:rsid w:val="002A1EA7"/>
    <w:rsid w:val="002B2F24"/>
    <w:rsid w:val="002B4850"/>
    <w:rsid w:val="002B7FCA"/>
    <w:rsid w:val="002D0321"/>
    <w:rsid w:val="002D24DF"/>
    <w:rsid w:val="002E3F6B"/>
    <w:rsid w:val="002F0B2A"/>
    <w:rsid w:val="002F125A"/>
    <w:rsid w:val="002F4922"/>
    <w:rsid w:val="002F6187"/>
    <w:rsid w:val="00301AE8"/>
    <w:rsid w:val="003143E7"/>
    <w:rsid w:val="003213A3"/>
    <w:rsid w:val="00332547"/>
    <w:rsid w:val="00341F07"/>
    <w:rsid w:val="00343AC9"/>
    <w:rsid w:val="00350B4B"/>
    <w:rsid w:val="0035172B"/>
    <w:rsid w:val="00356398"/>
    <w:rsid w:val="0036070F"/>
    <w:rsid w:val="00370A03"/>
    <w:rsid w:val="0037276C"/>
    <w:rsid w:val="003727A2"/>
    <w:rsid w:val="00380CF0"/>
    <w:rsid w:val="00394339"/>
    <w:rsid w:val="003967B7"/>
    <w:rsid w:val="003A5F27"/>
    <w:rsid w:val="003A7629"/>
    <w:rsid w:val="003A771A"/>
    <w:rsid w:val="003A7E56"/>
    <w:rsid w:val="003B4540"/>
    <w:rsid w:val="003C39D2"/>
    <w:rsid w:val="003C78AC"/>
    <w:rsid w:val="003D0DCA"/>
    <w:rsid w:val="003D1402"/>
    <w:rsid w:val="003D5A78"/>
    <w:rsid w:val="003E0217"/>
    <w:rsid w:val="003E0585"/>
    <w:rsid w:val="003E1B10"/>
    <w:rsid w:val="003E3E6E"/>
    <w:rsid w:val="003E798E"/>
    <w:rsid w:val="003F2BD8"/>
    <w:rsid w:val="003F5325"/>
    <w:rsid w:val="00404140"/>
    <w:rsid w:val="00406C46"/>
    <w:rsid w:val="00422434"/>
    <w:rsid w:val="0043345F"/>
    <w:rsid w:val="00445B5C"/>
    <w:rsid w:val="00450DB7"/>
    <w:rsid w:val="00454FD5"/>
    <w:rsid w:val="00456453"/>
    <w:rsid w:val="004703ED"/>
    <w:rsid w:val="00472EA7"/>
    <w:rsid w:val="00476B83"/>
    <w:rsid w:val="00490B70"/>
    <w:rsid w:val="0049515D"/>
    <w:rsid w:val="0049594D"/>
    <w:rsid w:val="004B67D7"/>
    <w:rsid w:val="004D524E"/>
    <w:rsid w:val="004D5C17"/>
    <w:rsid w:val="004F115F"/>
    <w:rsid w:val="0050265F"/>
    <w:rsid w:val="00502EB7"/>
    <w:rsid w:val="0052263A"/>
    <w:rsid w:val="00534F64"/>
    <w:rsid w:val="00555EAA"/>
    <w:rsid w:val="00563061"/>
    <w:rsid w:val="00564CC1"/>
    <w:rsid w:val="00573B85"/>
    <w:rsid w:val="0057636F"/>
    <w:rsid w:val="00576EB1"/>
    <w:rsid w:val="0058008D"/>
    <w:rsid w:val="0058094D"/>
    <w:rsid w:val="00580A63"/>
    <w:rsid w:val="005841E1"/>
    <w:rsid w:val="005966F9"/>
    <w:rsid w:val="005A30BE"/>
    <w:rsid w:val="005A3644"/>
    <w:rsid w:val="005A66EB"/>
    <w:rsid w:val="005B389E"/>
    <w:rsid w:val="005C2B24"/>
    <w:rsid w:val="005C2EFB"/>
    <w:rsid w:val="005D06FC"/>
    <w:rsid w:val="005D2C03"/>
    <w:rsid w:val="005E63A5"/>
    <w:rsid w:val="006019FD"/>
    <w:rsid w:val="00601FC8"/>
    <w:rsid w:val="006127E0"/>
    <w:rsid w:val="00616147"/>
    <w:rsid w:val="006314ED"/>
    <w:rsid w:val="006364E1"/>
    <w:rsid w:val="00637CB8"/>
    <w:rsid w:val="00645CCB"/>
    <w:rsid w:val="00660336"/>
    <w:rsid w:val="00662DA8"/>
    <w:rsid w:val="006809C2"/>
    <w:rsid w:val="00691640"/>
    <w:rsid w:val="0069361D"/>
    <w:rsid w:val="006946DF"/>
    <w:rsid w:val="00697E57"/>
    <w:rsid w:val="006A7647"/>
    <w:rsid w:val="006C3571"/>
    <w:rsid w:val="006C6F9C"/>
    <w:rsid w:val="006D17EC"/>
    <w:rsid w:val="006D253F"/>
    <w:rsid w:val="006D5A4E"/>
    <w:rsid w:val="006D766D"/>
    <w:rsid w:val="006E3DF1"/>
    <w:rsid w:val="006E474C"/>
    <w:rsid w:val="006F6874"/>
    <w:rsid w:val="007003DA"/>
    <w:rsid w:val="00703324"/>
    <w:rsid w:val="007045DC"/>
    <w:rsid w:val="007165F9"/>
    <w:rsid w:val="00722442"/>
    <w:rsid w:val="00722847"/>
    <w:rsid w:val="0072499A"/>
    <w:rsid w:val="0072689C"/>
    <w:rsid w:val="00742D53"/>
    <w:rsid w:val="00750171"/>
    <w:rsid w:val="00752470"/>
    <w:rsid w:val="0076136A"/>
    <w:rsid w:val="0076341C"/>
    <w:rsid w:val="0076459A"/>
    <w:rsid w:val="00765CEE"/>
    <w:rsid w:val="00781F06"/>
    <w:rsid w:val="0078438E"/>
    <w:rsid w:val="007A0748"/>
    <w:rsid w:val="007A2B65"/>
    <w:rsid w:val="007B60A5"/>
    <w:rsid w:val="007C098E"/>
    <w:rsid w:val="007C5207"/>
    <w:rsid w:val="007C7B2F"/>
    <w:rsid w:val="007D36E9"/>
    <w:rsid w:val="007D4300"/>
    <w:rsid w:val="007D5C83"/>
    <w:rsid w:val="007E79AB"/>
    <w:rsid w:val="007E7F87"/>
    <w:rsid w:val="007F5113"/>
    <w:rsid w:val="0080418A"/>
    <w:rsid w:val="0081137B"/>
    <w:rsid w:val="00813A92"/>
    <w:rsid w:val="0082172E"/>
    <w:rsid w:val="00822EB2"/>
    <w:rsid w:val="00823C1B"/>
    <w:rsid w:val="00831E42"/>
    <w:rsid w:val="00835F92"/>
    <w:rsid w:val="00836A03"/>
    <w:rsid w:val="00837AAE"/>
    <w:rsid w:val="00840D69"/>
    <w:rsid w:val="008416E9"/>
    <w:rsid w:val="00844EBE"/>
    <w:rsid w:val="00855504"/>
    <w:rsid w:val="00862733"/>
    <w:rsid w:val="00862932"/>
    <w:rsid w:val="00877C62"/>
    <w:rsid w:val="00886703"/>
    <w:rsid w:val="008967A2"/>
    <w:rsid w:val="008971F0"/>
    <w:rsid w:val="008B0C92"/>
    <w:rsid w:val="008C6E34"/>
    <w:rsid w:val="008C77FF"/>
    <w:rsid w:val="008D0685"/>
    <w:rsid w:val="008D1A90"/>
    <w:rsid w:val="008D2851"/>
    <w:rsid w:val="008D53EB"/>
    <w:rsid w:val="008E2AC0"/>
    <w:rsid w:val="009100FC"/>
    <w:rsid w:val="0091508B"/>
    <w:rsid w:val="00920227"/>
    <w:rsid w:val="00924F60"/>
    <w:rsid w:val="00925023"/>
    <w:rsid w:val="00931EC7"/>
    <w:rsid w:val="009336BD"/>
    <w:rsid w:val="00936A4F"/>
    <w:rsid w:val="0094088F"/>
    <w:rsid w:val="00941658"/>
    <w:rsid w:val="00950186"/>
    <w:rsid w:val="00960523"/>
    <w:rsid w:val="00960CDF"/>
    <w:rsid w:val="00964CC2"/>
    <w:rsid w:val="00974C5C"/>
    <w:rsid w:val="00980038"/>
    <w:rsid w:val="0098164E"/>
    <w:rsid w:val="009827B0"/>
    <w:rsid w:val="00990146"/>
    <w:rsid w:val="009A017C"/>
    <w:rsid w:val="009A0B42"/>
    <w:rsid w:val="009A0D32"/>
    <w:rsid w:val="009A3F9F"/>
    <w:rsid w:val="009A745B"/>
    <w:rsid w:val="009B2C57"/>
    <w:rsid w:val="009B611F"/>
    <w:rsid w:val="009C0506"/>
    <w:rsid w:val="009C0D63"/>
    <w:rsid w:val="009C1D7A"/>
    <w:rsid w:val="009D21CD"/>
    <w:rsid w:val="009D452E"/>
    <w:rsid w:val="009D4BD5"/>
    <w:rsid w:val="009E07F4"/>
    <w:rsid w:val="009E77E5"/>
    <w:rsid w:val="009F0EC1"/>
    <w:rsid w:val="009F125C"/>
    <w:rsid w:val="009F76C3"/>
    <w:rsid w:val="009F7EDD"/>
    <w:rsid w:val="00A01EF4"/>
    <w:rsid w:val="00A0395B"/>
    <w:rsid w:val="00A04070"/>
    <w:rsid w:val="00A04F12"/>
    <w:rsid w:val="00A07E89"/>
    <w:rsid w:val="00A12D97"/>
    <w:rsid w:val="00A13503"/>
    <w:rsid w:val="00A16F8D"/>
    <w:rsid w:val="00A21429"/>
    <w:rsid w:val="00A42197"/>
    <w:rsid w:val="00A51545"/>
    <w:rsid w:val="00A57394"/>
    <w:rsid w:val="00A620C0"/>
    <w:rsid w:val="00A63CE4"/>
    <w:rsid w:val="00A922C6"/>
    <w:rsid w:val="00AA1BA7"/>
    <w:rsid w:val="00AA7CAF"/>
    <w:rsid w:val="00AE04F2"/>
    <w:rsid w:val="00AE17DF"/>
    <w:rsid w:val="00AE6483"/>
    <w:rsid w:val="00B019CA"/>
    <w:rsid w:val="00B0267F"/>
    <w:rsid w:val="00B03668"/>
    <w:rsid w:val="00B174C7"/>
    <w:rsid w:val="00B31A16"/>
    <w:rsid w:val="00B359B5"/>
    <w:rsid w:val="00B515EF"/>
    <w:rsid w:val="00B60D9B"/>
    <w:rsid w:val="00B62ACD"/>
    <w:rsid w:val="00B64A9D"/>
    <w:rsid w:val="00B66776"/>
    <w:rsid w:val="00B6776E"/>
    <w:rsid w:val="00B677F3"/>
    <w:rsid w:val="00B71490"/>
    <w:rsid w:val="00B73D11"/>
    <w:rsid w:val="00B766FB"/>
    <w:rsid w:val="00B76CCA"/>
    <w:rsid w:val="00B76CF8"/>
    <w:rsid w:val="00B80C07"/>
    <w:rsid w:val="00B80CD9"/>
    <w:rsid w:val="00B943AA"/>
    <w:rsid w:val="00B94EDB"/>
    <w:rsid w:val="00BA51FF"/>
    <w:rsid w:val="00BB3AC7"/>
    <w:rsid w:val="00BB457D"/>
    <w:rsid w:val="00BC79F8"/>
    <w:rsid w:val="00BE2C30"/>
    <w:rsid w:val="00BE2DAC"/>
    <w:rsid w:val="00BE376A"/>
    <w:rsid w:val="00BE5BED"/>
    <w:rsid w:val="00BE6905"/>
    <w:rsid w:val="00BE6FED"/>
    <w:rsid w:val="00BE79CE"/>
    <w:rsid w:val="00BF1F85"/>
    <w:rsid w:val="00BF32B6"/>
    <w:rsid w:val="00C01214"/>
    <w:rsid w:val="00C108B5"/>
    <w:rsid w:val="00C10AF7"/>
    <w:rsid w:val="00C11D81"/>
    <w:rsid w:val="00C12BAD"/>
    <w:rsid w:val="00C15F6F"/>
    <w:rsid w:val="00C227E7"/>
    <w:rsid w:val="00C3217B"/>
    <w:rsid w:val="00C35083"/>
    <w:rsid w:val="00C37800"/>
    <w:rsid w:val="00C42BE9"/>
    <w:rsid w:val="00C43233"/>
    <w:rsid w:val="00C44A02"/>
    <w:rsid w:val="00C5418A"/>
    <w:rsid w:val="00C5457A"/>
    <w:rsid w:val="00C6379F"/>
    <w:rsid w:val="00C66AEF"/>
    <w:rsid w:val="00C67819"/>
    <w:rsid w:val="00C83633"/>
    <w:rsid w:val="00CA125C"/>
    <w:rsid w:val="00CB44D8"/>
    <w:rsid w:val="00CC7CB3"/>
    <w:rsid w:val="00CD121E"/>
    <w:rsid w:val="00CD57A1"/>
    <w:rsid w:val="00CD61F2"/>
    <w:rsid w:val="00CF2BEB"/>
    <w:rsid w:val="00CF4CB7"/>
    <w:rsid w:val="00D0017A"/>
    <w:rsid w:val="00D04A51"/>
    <w:rsid w:val="00D1027E"/>
    <w:rsid w:val="00D11C18"/>
    <w:rsid w:val="00D15067"/>
    <w:rsid w:val="00D25735"/>
    <w:rsid w:val="00D320C3"/>
    <w:rsid w:val="00D32485"/>
    <w:rsid w:val="00D32C41"/>
    <w:rsid w:val="00D36909"/>
    <w:rsid w:val="00D42089"/>
    <w:rsid w:val="00D539F4"/>
    <w:rsid w:val="00D5698A"/>
    <w:rsid w:val="00D56D1B"/>
    <w:rsid w:val="00D61230"/>
    <w:rsid w:val="00D6151A"/>
    <w:rsid w:val="00D63C08"/>
    <w:rsid w:val="00D67B47"/>
    <w:rsid w:val="00D74FE8"/>
    <w:rsid w:val="00D75F2F"/>
    <w:rsid w:val="00D830B3"/>
    <w:rsid w:val="00D877EB"/>
    <w:rsid w:val="00D947DD"/>
    <w:rsid w:val="00D976F2"/>
    <w:rsid w:val="00DA4B66"/>
    <w:rsid w:val="00DB1F41"/>
    <w:rsid w:val="00DB27AC"/>
    <w:rsid w:val="00DC75C8"/>
    <w:rsid w:val="00DD4DD6"/>
    <w:rsid w:val="00DF0FE3"/>
    <w:rsid w:val="00DF2838"/>
    <w:rsid w:val="00DF2DDA"/>
    <w:rsid w:val="00E0019E"/>
    <w:rsid w:val="00E01FFD"/>
    <w:rsid w:val="00E10918"/>
    <w:rsid w:val="00E13379"/>
    <w:rsid w:val="00E14B4F"/>
    <w:rsid w:val="00E26E75"/>
    <w:rsid w:val="00E27100"/>
    <w:rsid w:val="00E32458"/>
    <w:rsid w:val="00E42274"/>
    <w:rsid w:val="00E4689E"/>
    <w:rsid w:val="00E51711"/>
    <w:rsid w:val="00E62D4A"/>
    <w:rsid w:val="00E679A8"/>
    <w:rsid w:val="00E764AD"/>
    <w:rsid w:val="00E7773C"/>
    <w:rsid w:val="00E95C52"/>
    <w:rsid w:val="00EA1148"/>
    <w:rsid w:val="00EC06AB"/>
    <w:rsid w:val="00EC1E15"/>
    <w:rsid w:val="00EC3C51"/>
    <w:rsid w:val="00ED1FA7"/>
    <w:rsid w:val="00EF75A2"/>
    <w:rsid w:val="00F002A2"/>
    <w:rsid w:val="00F02FF6"/>
    <w:rsid w:val="00F11439"/>
    <w:rsid w:val="00F16E5C"/>
    <w:rsid w:val="00F206EA"/>
    <w:rsid w:val="00F419C6"/>
    <w:rsid w:val="00F4356C"/>
    <w:rsid w:val="00F52030"/>
    <w:rsid w:val="00F52C87"/>
    <w:rsid w:val="00F5348B"/>
    <w:rsid w:val="00F55DA9"/>
    <w:rsid w:val="00F60475"/>
    <w:rsid w:val="00F61A30"/>
    <w:rsid w:val="00F62ED8"/>
    <w:rsid w:val="00F64CBC"/>
    <w:rsid w:val="00F65655"/>
    <w:rsid w:val="00F745F0"/>
    <w:rsid w:val="00F77154"/>
    <w:rsid w:val="00F77BA9"/>
    <w:rsid w:val="00F87EBF"/>
    <w:rsid w:val="00F94DEB"/>
    <w:rsid w:val="00F95368"/>
    <w:rsid w:val="00FA4D51"/>
    <w:rsid w:val="00FC0F30"/>
    <w:rsid w:val="00FC13EB"/>
    <w:rsid w:val="00FC1554"/>
    <w:rsid w:val="00FC311D"/>
    <w:rsid w:val="00FD53B6"/>
    <w:rsid w:val="00FD565E"/>
    <w:rsid w:val="00FE2873"/>
    <w:rsid w:val="00FF45F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DB136"/>
  <w15:chartTrackingRefBased/>
  <w15:docId w15:val="{3A549D2E-7B03-4530-9BF2-0BCF2DD1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321"/>
    <w:pPr>
      <w:spacing w:after="200" w:line="276" w:lineRule="auto"/>
    </w:pPr>
  </w:style>
  <w:style w:type="paragraph" w:styleId="Titre1">
    <w:name w:val="heading 1"/>
    <w:basedOn w:val="Normal"/>
    <w:next w:val="Normal"/>
    <w:link w:val="Titre1Car"/>
    <w:uiPriority w:val="9"/>
    <w:qFormat/>
    <w:rsid w:val="00F16E5C"/>
    <w:pPr>
      <w:keepNext/>
      <w:keepLines/>
      <w:spacing w:before="480" w:after="0"/>
      <w:outlineLvl w:val="0"/>
    </w:pPr>
    <w:rPr>
      <w:rFonts w:asciiTheme="majorHAnsi" w:eastAsiaTheme="majorEastAsia" w:hAnsiTheme="majorHAnsi" w:cstheme="majorBidi"/>
      <w:b/>
      <w:bCs/>
      <w:color w:val="96750C"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6E5C"/>
    <w:rPr>
      <w:rFonts w:asciiTheme="majorHAnsi" w:eastAsiaTheme="majorEastAsia" w:hAnsiTheme="majorHAnsi" w:cstheme="majorBidi"/>
      <w:b/>
      <w:bCs/>
      <w:color w:val="96750C" w:themeColor="accent1" w:themeShade="BF"/>
      <w:sz w:val="28"/>
      <w:szCs w:val="28"/>
    </w:rPr>
  </w:style>
  <w:style w:type="table" w:styleId="Grilledutableau">
    <w:name w:val="Table Grid"/>
    <w:basedOn w:val="TableauNormal"/>
    <w:uiPriority w:val="59"/>
    <w:rsid w:val="00F1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16E5C"/>
    <w:pPr>
      <w:tabs>
        <w:tab w:val="center" w:pos="4680"/>
        <w:tab w:val="right" w:pos="9360"/>
      </w:tabs>
      <w:spacing w:after="0" w:line="240" w:lineRule="auto"/>
    </w:pPr>
  </w:style>
  <w:style w:type="character" w:customStyle="1" w:styleId="En-tteCar">
    <w:name w:val="En-tête Car"/>
    <w:basedOn w:val="Policepardfaut"/>
    <w:link w:val="En-tte"/>
    <w:uiPriority w:val="99"/>
    <w:rsid w:val="00F16E5C"/>
  </w:style>
  <w:style w:type="paragraph" w:styleId="Pieddepage">
    <w:name w:val="footer"/>
    <w:basedOn w:val="Normal"/>
    <w:link w:val="PieddepageCar"/>
    <w:uiPriority w:val="99"/>
    <w:unhideWhenUsed/>
    <w:rsid w:val="00F16E5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16E5C"/>
  </w:style>
  <w:style w:type="character" w:customStyle="1" w:styleId="txt">
    <w:name w:val="txt"/>
    <w:basedOn w:val="Policepardfaut"/>
    <w:rsid w:val="00F16E5C"/>
  </w:style>
  <w:style w:type="table" w:customStyle="1" w:styleId="Grilledutableau1">
    <w:name w:val="Grille du tableau1"/>
    <w:basedOn w:val="TableauNormal"/>
    <w:next w:val="Grilledutableau"/>
    <w:uiPriority w:val="59"/>
    <w:rsid w:val="00F1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F4CB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4CB7"/>
    <w:rPr>
      <w:sz w:val="20"/>
      <w:szCs w:val="20"/>
    </w:rPr>
  </w:style>
  <w:style w:type="character" w:styleId="Appelnotedebasdep">
    <w:name w:val="footnote reference"/>
    <w:basedOn w:val="Policepardfaut"/>
    <w:uiPriority w:val="99"/>
    <w:semiHidden/>
    <w:unhideWhenUsed/>
    <w:rsid w:val="00CF4CB7"/>
    <w:rPr>
      <w:vertAlign w:val="superscript"/>
    </w:rPr>
  </w:style>
  <w:style w:type="paragraph" w:styleId="Notedefin">
    <w:name w:val="endnote text"/>
    <w:basedOn w:val="Normal"/>
    <w:link w:val="NotedefinCar"/>
    <w:uiPriority w:val="99"/>
    <w:semiHidden/>
    <w:unhideWhenUsed/>
    <w:rsid w:val="00CF4CB7"/>
    <w:pPr>
      <w:spacing w:after="0" w:line="240" w:lineRule="auto"/>
    </w:pPr>
    <w:rPr>
      <w:sz w:val="20"/>
      <w:szCs w:val="20"/>
    </w:rPr>
  </w:style>
  <w:style w:type="character" w:customStyle="1" w:styleId="NotedefinCar">
    <w:name w:val="Note de fin Car"/>
    <w:basedOn w:val="Policepardfaut"/>
    <w:link w:val="Notedefin"/>
    <w:uiPriority w:val="99"/>
    <w:semiHidden/>
    <w:rsid w:val="00CF4CB7"/>
    <w:rPr>
      <w:sz w:val="20"/>
      <w:szCs w:val="20"/>
    </w:rPr>
  </w:style>
  <w:style w:type="character" w:styleId="Appeldenotedefin">
    <w:name w:val="endnote reference"/>
    <w:basedOn w:val="Policepardfaut"/>
    <w:uiPriority w:val="99"/>
    <w:semiHidden/>
    <w:unhideWhenUsed/>
    <w:rsid w:val="00CF4CB7"/>
    <w:rPr>
      <w:vertAlign w:val="superscript"/>
    </w:rPr>
  </w:style>
  <w:style w:type="character" w:styleId="Lienhypertexte">
    <w:name w:val="Hyperlink"/>
    <w:basedOn w:val="Policepardfaut"/>
    <w:uiPriority w:val="99"/>
    <w:unhideWhenUsed/>
    <w:rsid w:val="00227667"/>
    <w:rPr>
      <w:color w:val="0000FF"/>
      <w:u w:val="single"/>
    </w:rPr>
  </w:style>
  <w:style w:type="table" w:customStyle="1" w:styleId="Grilledutableau2">
    <w:name w:val="Grille du tableau2"/>
    <w:basedOn w:val="TableauNormal"/>
    <w:next w:val="Grilledutableau"/>
    <w:uiPriority w:val="59"/>
    <w:rsid w:val="00E679A8"/>
    <w:pPr>
      <w:spacing w:after="0" w:line="240" w:lineRule="auto"/>
    </w:pPr>
    <w:rPr>
      <w:rFonts w:ascii="Calibri" w:eastAsia="Calibri" w:hAnsi="Calibri"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60336"/>
    <w:pPr>
      <w:ind w:left="720"/>
      <w:contextualSpacing/>
    </w:pPr>
  </w:style>
  <w:style w:type="character" w:styleId="Lienhypertextesuivivisit">
    <w:name w:val="FollowedHyperlink"/>
    <w:basedOn w:val="Policepardfaut"/>
    <w:uiPriority w:val="99"/>
    <w:semiHidden/>
    <w:unhideWhenUsed/>
    <w:rsid w:val="006127E0"/>
    <w:rPr>
      <w:color w:val="954F72" w:themeColor="followedHyperlink"/>
      <w:u w:val="single"/>
    </w:rPr>
  </w:style>
  <w:style w:type="character" w:styleId="Mentionnonrsolue">
    <w:name w:val="Unresolved Mention"/>
    <w:basedOn w:val="Policepardfaut"/>
    <w:uiPriority w:val="99"/>
    <w:semiHidden/>
    <w:unhideWhenUsed/>
    <w:rsid w:val="00D04A51"/>
    <w:rPr>
      <w:color w:val="605E5C"/>
      <w:shd w:val="clear" w:color="auto" w:fill="E1DFDD"/>
    </w:rPr>
  </w:style>
  <w:style w:type="paragraph" w:styleId="Textedebulles">
    <w:name w:val="Balloon Text"/>
    <w:basedOn w:val="Normal"/>
    <w:link w:val="TextedebullesCar"/>
    <w:uiPriority w:val="99"/>
    <w:semiHidden/>
    <w:unhideWhenUsed/>
    <w:rsid w:val="00B677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677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3703">
      <w:bodyDiv w:val="1"/>
      <w:marLeft w:val="0"/>
      <w:marRight w:val="0"/>
      <w:marTop w:val="0"/>
      <w:marBottom w:val="0"/>
      <w:divBdr>
        <w:top w:val="none" w:sz="0" w:space="0" w:color="auto"/>
        <w:left w:val="none" w:sz="0" w:space="0" w:color="auto"/>
        <w:bottom w:val="none" w:sz="0" w:space="0" w:color="auto"/>
        <w:right w:val="none" w:sz="0" w:space="0" w:color="auto"/>
      </w:divBdr>
    </w:div>
    <w:div w:id="271791627">
      <w:bodyDiv w:val="1"/>
      <w:marLeft w:val="0"/>
      <w:marRight w:val="0"/>
      <w:marTop w:val="0"/>
      <w:marBottom w:val="0"/>
      <w:divBdr>
        <w:top w:val="none" w:sz="0" w:space="0" w:color="auto"/>
        <w:left w:val="none" w:sz="0" w:space="0" w:color="auto"/>
        <w:bottom w:val="none" w:sz="0" w:space="0" w:color="auto"/>
        <w:right w:val="none" w:sz="0" w:space="0" w:color="auto"/>
      </w:divBdr>
    </w:div>
    <w:div w:id="319890351">
      <w:bodyDiv w:val="1"/>
      <w:marLeft w:val="0"/>
      <w:marRight w:val="0"/>
      <w:marTop w:val="0"/>
      <w:marBottom w:val="0"/>
      <w:divBdr>
        <w:top w:val="none" w:sz="0" w:space="0" w:color="auto"/>
        <w:left w:val="none" w:sz="0" w:space="0" w:color="auto"/>
        <w:bottom w:val="none" w:sz="0" w:space="0" w:color="auto"/>
        <w:right w:val="none" w:sz="0" w:space="0" w:color="auto"/>
      </w:divBdr>
    </w:div>
    <w:div w:id="461340166">
      <w:bodyDiv w:val="1"/>
      <w:marLeft w:val="0"/>
      <w:marRight w:val="0"/>
      <w:marTop w:val="0"/>
      <w:marBottom w:val="0"/>
      <w:divBdr>
        <w:top w:val="none" w:sz="0" w:space="0" w:color="auto"/>
        <w:left w:val="none" w:sz="0" w:space="0" w:color="auto"/>
        <w:bottom w:val="none" w:sz="0" w:space="0" w:color="auto"/>
        <w:right w:val="none" w:sz="0" w:space="0" w:color="auto"/>
      </w:divBdr>
    </w:div>
    <w:div w:id="978070009">
      <w:bodyDiv w:val="1"/>
      <w:marLeft w:val="0"/>
      <w:marRight w:val="0"/>
      <w:marTop w:val="0"/>
      <w:marBottom w:val="0"/>
      <w:divBdr>
        <w:top w:val="none" w:sz="0" w:space="0" w:color="auto"/>
        <w:left w:val="none" w:sz="0" w:space="0" w:color="auto"/>
        <w:bottom w:val="none" w:sz="0" w:space="0" w:color="auto"/>
        <w:right w:val="none" w:sz="0" w:space="0" w:color="auto"/>
      </w:divBdr>
    </w:div>
    <w:div w:id="1494175614">
      <w:bodyDiv w:val="1"/>
      <w:marLeft w:val="0"/>
      <w:marRight w:val="0"/>
      <w:marTop w:val="0"/>
      <w:marBottom w:val="0"/>
      <w:divBdr>
        <w:top w:val="none" w:sz="0" w:space="0" w:color="auto"/>
        <w:left w:val="none" w:sz="0" w:space="0" w:color="auto"/>
        <w:bottom w:val="none" w:sz="0" w:space="0" w:color="auto"/>
        <w:right w:val="none" w:sz="0" w:space="0" w:color="auto"/>
      </w:divBdr>
    </w:div>
    <w:div w:id="1746293348">
      <w:bodyDiv w:val="1"/>
      <w:marLeft w:val="0"/>
      <w:marRight w:val="0"/>
      <w:marTop w:val="0"/>
      <w:marBottom w:val="0"/>
      <w:divBdr>
        <w:top w:val="none" w:sz="0" w:space="0" w:color="auto"/>
        <w:left w:val="none" w:sz="0" w:space="0" w:color="auto"/>
        <w:bottom w:val="none" w:sz="0" w:space="0" w:color="auto"/>
        <w:right w:val="none" w:sz="0" w:space="0" w:color="auto"/>
      </w:divBdr>
    </w:div>
    <w:div w:id="1846897059">
      <w:bodyDiv w:val="1"/>
      <w:marLeft w:val="0"/>
      <w:marRight w:val="0"/>
      <w:marTop w:val="0"/>
      <w:marBottom w:val="0"/>
      <w:divBdr>
        <w:top w:val="none" w:sz="0" w:space="0" w:color="auto"/>
        <w:left w:val="none" w:sz="0" w:space="0" w:color="auto"/>
        <w:bottom w:val="none" w:sz="0" w:space="0" w:color="auto"/>
        <w:right w:val="none" w:sz="0" w:space="0" w:color="auto"/>
      </w:divBdr>
    </w:div>
    <w:div w:id="1920483397">
      <w:bodyDiv w:val="1"/>
      <w:marLeft w:val="0"/>
      <w:marRight w:val="0"/>
      <w:marTop w:val="0"/>
      <w:marBottom w:val="0"/>
      <w:divBdr>
        <w:top w:val="none" w:sz="0" w:space="0" w:color="auto"/>
        <w:left w:val="none" w:sz="0" w:space="0" w:color="auto"/>
        <w:bottom w:val="none" w:sz="0" w:space="0" w:color="auto"/>
        <w:right w:val="none" w:sz="0" w:space="0" w:color="auto"/>
      </w:divBdr>
    </w:div>
    <w:div w:id="1925793560">
      <w:bodyDiv w:val="1"/>
      <w:marLeft w:val="0"/>
      <w:marRight w:val="0"/>
      <w:marTop w:val="0"/>
      <w:marBottom w:val="0"/>
      <w:divBdr>
        <w:top w:val="none" w:sz="0" w:space="0" w:color="auto"/>
        <w:left w:val="none" w:sz="0" w:space="0" w:color="auto"/>
        <w:bottom w:val="none" w:sz="0" w:space="0" w:color="auto"/>
        <w:right w:val="none" w:sz="0" w:space="0" w:color="auto"/>
      </w:divBdr>
    </w:div>
    <w:div w:id="211886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sv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ervice.elsevier.com/app/answers/detail/a_id/35050/supporthub/sciva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mailto:%20oliver.doutres@etsmtl.ca"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0" i="0" u="none" strike="noStrike" kern="1200" baseline="0">
                <a:solidFill>
                  <a:sysClr val="windowText" lastClr="000000"/>
                </a:solidFill>
                <a:latin typeface="+mn-lt"/>
                <a:ea typeface="+mn-ea"/>
                <a:cs typeface="+mn-cs"/>
              </a:defRPr>
            </a:pPr>
            <a:r>
              <a:rPr lang="fr-CA" sz="1400" b="1">
                <a:solidFill>
                  <a:sysClr val="windowText" lastClr="000000"/>
                </a:solidFill>
              </a:rPr>
              <a:t>Nombre de publications</a:t>
            </a:r>
            <a:r>
              <a:rPr lang="fr-CA" sz="1400" b="1" baseline="30000">
                <a:solidFill>
                  <a:sysClr val="windowText" lastClr="000000"/>
                </a:solidFill>
              </a:rPr>
              <a:t>3</a:t>
            </a:r>
            <a:endParaRPr lang="fr-CA" sz="1200" baseline="30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b="0">
                <a:solidFill>
                  <a:sysClr val="windowText" lastClr="000000"/>
                </a:solidFill>
              </a:defRPr>
            </a:pPr>
            <a:endParaRPr lang="fr-CA" sz="1200" b="0" baseline="300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0" i="0" u="none" strike="noStrike" kern="1200" baseline="0">
              <a:solidFill>
                <a:sysClr val="windowText" lastClr="000000"/>
              </a:solidFill>
              <a:latin typeface="+mn-lt"/>
              <a:ea typeface="+mn-ea"/>
              <a:cs typeface="+mn-cs"/>
            </a:defRPr>
          </a:pPr>
          <a:endParaRPr lang="fr-FR"/>
        </a:p>
      </c:txPr>
    </c:title>
    <c:autoTitleDeleted val="0"/>
    <c:plotArea>
      <c:layout>
        <c:manualLayout>
          <c:layoutTarget val="inner"/>
          <c:xMode val="edge"/>
          <c:yMode val="edge"/>
          <c:x val="0.15971928159141571"/>
          <c:y val="0.3768059335590967"/>
          <c:w val="0.78866311065955463"/>
          <c:h val="0.43657592692973823"/>
        </c:manualLayout>
      </c:layout>
      <c:barChart>
        <c:barDir val="col"/>
        <c:grouping val="percentStacked"/>
        <c:varyColors val="0"/>
        <c:ser>
          <c:idx val="0"/>
          <c:order val="0"/>
          <c:tx>
            <c:strRef>
              <c:f>Feuil1!$B$1</c:f>
              <c:strCache>
                <c:ptCount val="1"/>
                <c:pt idx="0">
                  <c:v>Articles</c:v>
                </c:pt>
              </c:strCache>
            </c:strRef>
          </c:tx>
          <c:spPr>
            <a:solidFill>
              <a:schemeClr val="accent6"/>
            </a:solidFill>
            <a:ln>
              <a:noFill/>
            </a:ln>
            <a:effectLst/>
          </c:spPr>
          <c:invertIfNegative val="0"/>
          <c:dLbls>
            <c:numFmt formatCode="#,##0;\-#,##0" sourceLinked="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Feuil1!$A$2:$A$4</c:f>
              <c:strCache>
                <c:ptCount val="3"/>
                <c:pt idx="0">
                  <c:v>Carrière (≥1996)</c:v>
                </c:pt>
                <c:pt idx="1">
                  <c:v>2017 à ≥2022</c:v>
                </c:pt>
                <c:pt idx="2">
                  <c:v>2020 à ≥2022</c:v>
                </c:pt>
              </c:strCache>
            </c:strRef>
          </c:cat>
          <c:val>
            <c:numRef>
              <c:f>Feuil1!$B$2:$B$4</c:f>
              <c:numCache>
                <c:formatCode>General</c:formatCode>
                <c:ptCount val="3"/>
                <c:pt idx="0">
                  <c:v>20</c:v>
                </c:pt>
                <c:pt idx="1">
                  <c:v>2</c:v>
                </c:pt>
                <c:pt idx="2">
                  <c:v>2</c:v>
                </c:pt>
              </c:numCache>
            </c:numRef>
          </c:val>
          <c:extLst>
            <c:ext xmlns:c16="http://schemas.microsoft.com/office/drawing/2014/chart" uri="{C3380CC4-5D6E-409C-BE32-E72D297353CC}">
              <c16:uniqueId val="{00000000-AD42-4941-BC23-1C2CDE8F124C}"/>
            </c:ext>
          </c:extLst>
        </c:ser>
        <c:ser>
          <c:idx val="1"/>
          <c:order val="1"/>
          <c:tx>
            <c:strRef>
              <c:f>Feuil1!$C$1</c:f>
              <c:strCache>
                <c:ptCount val="1"/>
                <c:pt idx="0">
                  <c:v>Conférences</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Feuil1!$A$2:$A$4</c:f>
              <c:strCache>
                <c:ptCount val="3"/>
                <c:pt idx="0">
                  <c:v>Carrière (≥1996)</c:v>
                </c:pt>
                <c:pt idx="1">
                  <c:v>2017 à ≥2022</c:v>
                </c:pt>
                <c:pt idx="2">
                  <c:v>2020 à ≥2022</c:v>
                </c:pt>
              </c:strCache>
            </c:strRef>
          </c:cat>
          <c:val>
            <c:numRef>
              <c:f>Feuil1!$C$2:$C$4</c:f>
              <c:numCache>
                <c:formatCode>General</c:formatCode>
                <c:ptCount val="3"/>
                <c:pt idx="0">
                  <c:v>21</c:v>
                </c:pt>
                <c:pt idx="1">
                  <c:v>2</c:v>
                </c:pt>
                <c:pt idx="2">
                  <c:v>2</c:v>
                </c:pt>
              </c:numCache>
            </c:numRef>
          </c:val>
          <c:extLst>
            <c:ext xmlns:c16="http://schemas.microsoft.com/office/drawing/2014/chart" uri="{C3380CC4-5D6E-409C-BE32-E72D297353CC}">
              <c16:uniqueId val="{00000001-AD42-4941-BC23-1C2CDE8F124C}"/>
            </c:ext>
          </c:extLst>
        </c:ser>
        <c:ser>
          <c:idx val="2"/>
          <c:order val="2"/>
          <c:tx>
            <c:strRef>
              <c:f>Feuil1!$D$1</c:f>
              <c:strCache>
                <c:ptCount val="1"/>
                <c:pt idx="0">
                  <c:v>Autres</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Feuil1!$A$2:$A$4</c:f>
              <c:strCache>
                <c:ptCount val="3"/>
                <c:pt idx="0">
                  <c:v>Carrière (≥1996)</c:v>
                </c:pt>
                <c:pt idx="1">
                  <c:v>2017 à ≥2022</c:v>
                </c:pt>
                <c:pt idx="2">
                  <c:v>2020 à ≥2022</c:v>
                </c:pt>
              </c:strCache>
            </c:strRef>
          </c:cat>
          <c:val>
            <c:numRef>
              <c:f>Feuil1!$D$2:$D$4</c:f>
              <c:numCache>
                <c:formatCode>General</c:formatCode>
                <c:ptCount val="3"/>
                <c:pt idx="0">
                  <c:v>0</c:v>
                </c:pt>
                <c:pt idx="1">
                  <c:v>2</c:v>
                </c:pt>
                <c:pt idx="2">
                  <c:v>2</c:v>
                </c:pt>
              </c:numCache>
            </c:numRef>
          </c:val>
          <c:extLst>
            <c:ext xmlns:c16="http://schemas.microsoft.com/office/drawing/2014/chart" uri="{C3380CC4-5D6E-409C-BE32-E72D297353CC}">
              <c16:uniqueId val="{00000002-AD42-4941-BC23-1C2CDE8F124C}"/>
            </c:ext>
          </c:extLst>
        </c:ser>
        <c:dLbls>
          <c:showLegendKey val="0"/>
          <c:showVal val="1"/>
          <c:showCatName val="0"/>
          <c:showSerName val="0"/>
          <c:showPercent val="0"/>
          <c:showBubbleSize val="0"/>
        </c:dLbls>
        <c:gapWidth val="216"/>
        <c:overlap val="100"/>
        <c:axId val="37341440"/>
        <c:axId val="39063552"/>
      </c:barChart>
      <c:catAx>
        <c:axId val="37341440"/>
        <c:scaling>
          <c:orientation val="minMax"/>
        </c:scaling>
        <c:delete val="0"/>
        <c:axPos val="b"/>
        <c:numFmt formatCode="General" sourceLinked="0"/>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crossAx val="39063552"/>
        <c:crosses val="autoZero"/>
        <c:auto val="1"/>
        <c:lblAlgn val="ctr"/>
        <c:lblOffset val="100"/>
        <c:noMultiLvlLbl val="0"/>
      </c:catAx>
      <c:valAx>
        <c:axId val="39063552"/>
        <c:scaling>
          <c:orientation val="minMax"/>
        </c:scaling>
        <c:delete val="0"/>
        <c:axPos val="l"/>
        <c:majorGridlines>
          <c:spPr>
            <a:ln w="6350" cap="flat" cmpd="sng" algn="ctr">
              <a:solidFill>
                <a:schemeClr val="tx1">
                  <a:tint val="75000"/>
                </a:schemeClr>
              </a:solidFill>
              <a:prstDash val="solid"/>
              <a:round/>
            </a:ln>
            <a:effectLst/>
          </c:spPr>
        </c:majorGridlines>
        <c:numFmt formatCode="0%"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crossAx val="37341440"/>
        <c:crosses val="autoZero"/>
        <c:crossBetween val="between"/>
      </c:valAx>
      <c:spPr>
        <a:solidFill>
          <a:schemeClr val="bg1"/>
        </a:solidFill>
        <a:ln>
          <a:noFill/>
        </a:ln>
        <a:effectLst/>
      </c:spPr>
    </c:plotArea>
    <c:legend>
      <c:legendPos val="b"/>
      <c:layout>
        <c:manualLayout>
          <c:xMode val="edge"/>
          <c:yMode val="edge"/>
          <c:x val="0.14502462219133264"/>
          <c:y val="0.17959366376876193"/>
          <c:w val="0.77883457786291244"/>
          <c:h val="8.6734005971028608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legend>
    <c:plotVisOnly val="1"/>
    <c:dispBlanksAs val="gap"/>
    <c:showDLblsOverMax val="0"/>
  </c:chart>
  <c:spPr>
    <a:solidFill>
      <a:schemeClr val="bg1"/>
    </a:solidFill>
    <a:ln w="6350" cap="flat" cmpd="sng" algn="ctr">
      <a:noFill/>
      <a:prstDash val="solid"/>
      <a:round/>
    </a:ln>
    <a:effectLst/>
  </c:spPr>
  <c:txPr>
    <a:bodyPr/>
    <a:lstStyle/>
    <a:p>
      <a:pPr>
        <a:defRPr/>
      </a:pPr>
      <a:endParaRPr lang="fr-FR"/>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baseline="0">
                <a:solidFill>
                  <a:schemeClr val="tx1"/>
                </a:solidFill>
                <a:latin typeface="+mn-lt"/>
                <a:ea typeface="+mn-ea"/>
                <a:cs typeface="+mn-cs"/>
              </a:defRPr>
            </a:pPr>
            <a:r>
              <a:rPr lang="en-US" sz="1400" b="1">
                <a:solidFill>
                  <a:sysClr val="windowText" lastClr="000000"/>
                </a:solidFill>
              </a:rPr>
              <a:t>Citations </a:t>
            </a:r>
            <a:r>
              <a:rPr lang="en-US" sz="1200" b="1">
                <a:solidFill>
                  <a:sysClr val="windowText" lastClr="000000"/>
                </a:solidFill>
              </a:rPr>
              <a:t>(publ. </a:t>
            </a:r>
            <a:r>
              <a:rPr lang="en-US" sz="1200" b="1">
                <a:solidFill>
                  <a:sysClr val="windowText" lastClr="000000"/>
                </a:solidFill>
                <a:latin typeface="Calibri"/>
              </a:rPr>
              <a:t>≥ 1996)</a:t>
            </a:r>
            <a:r>
              <a:rPr lang="en-US" sz="1200" b="1" baseline="30000">
                <a:solidFill>
                  <a:sysClr val="windowText" lastClr="000000"/>
                </a:solidFill>
                <a:latin typeface="Calibri"/>
              </a:rPr>
              <a:t>4</a:t>
            </a:r>
            <a:endParaRPr lang="en-US" sz="1100" b="1" baseline="30000">
              <a:solidFill>
                <a:sysClr val="windowText" lastClr="000000"/>
              </a:solidFill>
            </a:endParaRPr>
          </a:p>
        </c:rich>
      </c:tx>
      <c:layout>
        <c:manualLayout>
          <c:xMode val="edge"/>
          <c:yMode val="edge"/>
          <c:x val="0.25535963532324057"/>
          <c:y val="5.4392251370331816E-2"/>
        </c:manualLayout>
      </c:layout>
      <c:overlay val="0"/>
      <c:spPr>
        <a:noFill/>
        <a:ln>
          <a:noFill/>
        </a:ln>
        <a:effectLst/>
      </c:spPr>
      <c:txPr>
        <a:bodyPr rot="0" spcFirstLastPara="1" vertOverflow="ellipsis" vert="horz" wrap="square" anchor="ctr" anchorCtr="1"/>
        <a:lstStyle/>
        <a:p>
          <a:pPr>
            <a:defRPr sz="1800" b="0" i="0" u="none" strike="noStrike" kern="1200" baseline="0">
              <a:solidFill>
                <a:schemeClr val="tx1"/>
              </a:solidFill>
              <a:latin typeface="+mn-lt"/>
              <a:ea typeface="+mn-ea"/>
              <a:cs typeface="+mn-cs"/>
            </a:defRPr>
          </a:pPr>
          <a:endParaRPr lang="fr-FR"/>
        </a:p>
      </c:txPr>
    </c:title>
    <c:autoTitleDeleted val="0"/>
    <c:plotArea>
      <c:layout>
        <c:manualLayout>
          <c:layoutTarget val="inner"/>
          <c:xMode val="edge"/>
          <c:yMode val="edge"/>
          <c:x val="0.13692883169094339"/>
          <c:y val="0.29676823005819924"/>
          <c:w val="0.7143720858422109"/>
          <c:h val="0.43885339995849371"/>
        </c:manualLayout>
      </c:layout>
      <c:barChart>
        <c:barDir val="col"/>
        <c:grouping val="clustered"/>
        <c:varyColors val="0"/>
        <c:ser>
          <c:idx val="1"/>
          <c:order val="1"/>
          <c:tx>
            <c:strRef>
              <c:f>Feuil1!$C$1</c:f>
              <c:strCache>
                <c:ptCount val="1"/>
                <c:pt idx="0">
                  <c:v>Publications</c:v>
                </c:pt>
              </c:strCache>
            </c:strRef>
          </c:tx>
          <c:spPr>
            <a:solidFill>
              <a:schemeClr val="accent5"/>
            </a:solidFill>
            <a:ln>
              <a:noFill/>
            </a:ln>
            <a:effectLst/>
          </c:spPr>
          <c:invertIfNegative val="0"/>
          <c:cat>
            <c:strRef>
              <c:f>Feuil1!$A$2:$A$28</c:f>
              <c:strCache>
                <c:ptCount val="27"/>
                <c:pt idx="0">
                  <c:v>86-95</c:v>
                </c:pt>
                <c:pt idx="2">
                  <c:v>97</c:v>
                </c:pt>
                <c:pt idx="4">
                  <c:v>99</c:v>
                </c:pt>
                <c:pt idx="6">
                  <c:v>1</c:v>
                </c:pt>
                <c:pt idx="8">
                  <c:v>3</c:v>
                </c:pt>
                <c:pt idx="10">
                  <c:v>5</c:v>
                </c:pt>
                <c:pt idx="12">
                  <c:v>7</c:v>
                </c:pt>
                <c:pt idx="14">
                  <c:v>9</c:v>
                </c:pt>
                <c:pt idx="16">
                  <c:v>11</c:v>
                </c:pt>
                <c:pt idx="18">
                  <c:v>13</c:v>
                </c:pt>
                <c:pt idx="20">
                  <c:v>15</c:v>
                </c:pt>
                <c:pt idx="22">
                  <c:v>17</c:v>
                </c:pt>
                <c:pt idx="24">
                  <c:v>19</c:v>
                </c:pt>
                <c:pt idx="26">
                  <c:v>21</c:v>
                </c:pt>
              </c:strCache>
            </c:strRef>
          </c:cat>
          <c:val>
            <c:numRef>
              <c:f>Feuil1!$C$2:$C$28</c:f>
              <c:numCache>
                <c:formatCode>General</c:formatCode>
                <c:ptCount val="27"/>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9</c:v>
                </c:pt>
                <c:pt idx="21">
                  <c:v>2</c:v>
                </c:pt>
                <c:pt idx="22">
                  <c:v>5</c:v>
                </c:pt>
                <c:pt idx="23">
                  <c:v>2</c:v>
                </c:pt>
                <c:pt idx="24">
                  <c:v>1</c:v>
                </c:pt>
                <c:pt idx="25">
                  <c:v>2</c:v>
                </c:pt>
                <c:pt idx="26">
                  <c:v>1</c:v>
                </c:pt>
              </c:numCache>
            </c:numRef>
          </c:val>
          <c:extLst>
            <c:ext xmlns:c16="http://schemas.microsoft.com/office/drawing/2014/chart" uri="{C3380CC4-5D6E-409C-BE32-E72D297353CC}">
              <c16:uniqueId val="{00000000-4350-4D50-BA9F-4D49305BE562}"/>
            </c:ext>
          </c:extLst>
        </c:ser>
        <c:dLbls>
          <c:showLegendKey val="0"/>
          <c:showVal val="0"/>
          <c:showCatName val="0"/>
          <c:showSerName val="0"/>
          <c:showPercent val="0"/>
          <c:showBubbleSize val="0"/>
        </c:dLbls>
        <c:gapWidth val="150"/>
        <c:axId val="39198080"/>
        <c:axId val="39196160"/>
      </c:barChart>
      <c:lineChart>
        <c:grouping val="standard"/>
        <c:varyColors val="0"/>
        <c:ser>
          <c:idx val="0"/>
          <c:order val="0"/>
          <c:tx>
            <c:strRef>
              <c:f>Feuil1!$B$1</c:f>
              <c:strCache>
                <c:ptCount val="1"/>
                <c:pt idx="0">
                  <c:v>Citations</c:v>
                </c:pt>
              </c:strCache>
            </c:strRef>
          </c:tx>
          <c:spPr>
            <a:ln w="19050" cap="rnd" cmpd="sng" algn="ctr">
              <a:solidFill>
                <a:schemeClr val="accent6"/>
              </a:solidFill>
              <a:prstDash val="solid"/>
              <a:round/>
            </a:ln>
            <a:effectLst/>
          </c:spPr>
          <c:marker>
            <c:symbol val="none"/>
          </c:marker>
          <c:cat>
            <c:strRef>
              <c:f>Feuil1!$A$2:$A$28</c:f>
              <c:strCache>
                <c:ptCount val="27"/>
                <c:pt idx="0">
                  <c:v>86-95</c:v>
                </c:pt>
                <c:pt idx="2">
                  <c:v>97</c:v>
                </c:pt>
                <c:pt idx="4">
                  <c:v>99</c:v>
                </c:pt>
                <c:pt idx="6">
                  <c:v>1</c:v>
                </c:pt>
                <c:pt idx="8">
                  <c:v>3</c:v>
                </c:pt>
                <c:pt idx="10">
                  <c:v>5</c:v>
                </c:pt>
                <c:pt idx="12">
                  <c:v>7</c:v>
                </c:pt>
                <c:pt idx="14">
                  <c:v>9</c:v>
                </c:pt>
                <c:pt idx="16">
                  <c:v>11</c:v>
                </c:pt>
                <c:pt idx="18">
                  <c:v>13</c:v>
                </c:pt>
                <c:pt idx="20">
                  <c:v>15</c:v>
                </c:pt>
                <c:pt idx="22">
                  <c:v>17</c:v>
                </c:pt>
                <c:pt idx="24">
                  <c:v>19</c:v>
                </c:pt>
                <c:pt idx="26">
                  <c:v>21</c:v>
                </c:pt>
              </c:strCache>
            </c:strRef>
          </c:cat>
          <c:val>
            <c:numRef>
              <c:f>Feuil1!$B$2:$B$28</c:f>
              <c:numCache>
                <c:formatCode>General</c:formatCode>
                <c:ptCount val="27"/>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5</c:v>
                </c:pt>
                <c:pt idx="21">
                  <c:v>25</c:v>
                </c:pt>
                <c:pt idx="22">
                  <c:v>8</c:v>
                </c:pt>
                <c:pt idx="23">
                  <c:v>10</c:v>
                </c:pt>
                <c:pt idx="24">
                  <c:v>4</c:v>
                </c:pt>
                <c:pt idx="25">
                  <c:v>10</c:v>
                </c:pt>
                <c:pt idx="26">
                  <c:v>3</c:v>
                </c:pt>
              </c:numCache>
            </c:numRef>
          </c:val>
          <c:smooth val="0"/>
          <c:extLst>
            <c:ext xmlns:c16="http://schemas.microsoft.com/office/drawing/2014/chart" uri="{C3380CC4-5D6E-409C-BE32-E72D297353CC}">
              <c16:uniqueId val="{00000001-4350-4D50-BA9F-4D49305BE562}"/>
            </c:ext>
          </c:extLst>
        </c:ser>
        <c:ser>
          <c:idx val="2"/>
          <c:order val="2"/>
          <c:tx>
            <c:strRef>
              <c:f>Feuil1!$D$1</c:f>
              <c:strCache>
                <c:ptCount val="1"/>
                <c:pt idx="0">
                  <c:v>Citations2</c:v>
                </c:pt>
              </c:strCache>
            </c:strRef>
          </c:tx>
          <c:spPr>
            <a:ln w="19050" cap="rnd" cmpd="sng" algn="ctr">
              <a:solidFill>
                <a:schemeClr val="accent4"/>
              </a:solidFill>
              <a:prstDash val="solid"/>
              <a:round/>
            </a:ln>
            <a:effectLst/>
          </c:spPr>
          <c:marker>
            <c:symbol val="none"/>
          </c:marker>
          <c:cat>
            <c:strRef>
              <c:f>Feuil1!$A$2:$A$28</c:f>
              <c:strCache>
                <c:ptCount val="27"/>
                <c:pt idx="0">
                  <c:v>86-95</c:v>
                </c:pt>
                <c:pt idx="2">
                  <c:v>97</c:v>
                </c:pt>
                <c:pt idx="4">
                  <c:v>99</c:v>
                </c:pt>
                <c:pt idx="6">
                  <c:v>1</c:v>
                </c:pt>
                <c:pt idx="8">
                  <c:v>3</c:v>
                </c:pt>
                <c:pt idx="10">
                  <c:v>5</c:v>
                </c:pt>
                <c:pt idx="12">
                  <c:v>7</c:v>
                </c:pt>
                <c:pt idx="14">
                  <c:v>9</c:v>
                </c:pt>
                <c:pt idx="16">
                  <c:v>11</c:v>
                </c:pt>
                <c:pt idx="18">
                  <c:v>13</c:v>
                </c:pt>
                <c:pt idx="20">
                  <c:v>15</c:v>
                </c:pt>
                <c:pt idx="22">
                  <c:v>17</c:v>
                </c:pt>
                <c:pt idx="24">
                  <c:v>19</c:v>
                </c:pt>
                <c:pt idx="26">
                  <c:v>21</c:v>
                </c:pt>
              </c:strCache>
            </c:strRef>
          </c:cat>
          <c:val>
            <c:numRef>
              <c:f>Feuil1!$D$2:$D$28</c:f>
            </c:numRef>
          </c:val>
          <c:smooth val="0"/>
          <c:extLst>
            <c:ext xmlns:c16="http://schemas.microsoft.com/office/drawing/2014/chart" uri="{C3380CC4-5D6E-409C-BE32-E72D297353CC}">
              <c16:uniqueId val="{00000000-D02F-4D45-A427-EE26E5FD63BD}"/>
            </c:ext>
          </c:extLst>
        </c:ser>
        <c:ser>
          <c:idx val="3"/>
          <c:order val="3"/>
          <c:tx>
            <c:strRef>
              <c:f>Feuil1!$E$1</c:f>
              <c:strCache>
                <c:ptCount val="1"/>
                <c:pt idx="0">
                  <c:v>Colonne1</c:v>
                </c:pt>
              </c:strCache>
            </c:strRef>
          </c:tx>
          <c:spPr>
            <a:ln w="19050" cap="rnd" cmpd="sng" algn="ctr">
              <a:solidFill>
                <a:schemeClr val="accent6">
                  <a:lumMod val="60000"/>
                </a:schemeClr>
              </a:solidFill>
              <a:prstDash val="solid"/>
              <a:round/>
            </a:ln>
            <a:effectLst/>
          </c:spPr>
          <c:marker>
            <c:symbol val="none"/>
          </c:marker>
          <c:cat>
            <c:strRef>
              <c:f>Feuil1!$A$2:$A$28</c:f>
              <c:strCache>
                <c:ptCount val="27"/>
                <c:pt idx="0">
                  <c:v>86-95</c:v>
                </c:pt>
                <c:pt idx="2">
                  <c:v>97</c:v>
                </c:pt>
                <c:pt idx="4">
                  <c:v>99</c:v>
                </c:pt>
                <c:pt idx="6">
                  <c:v>1</c:v>
                </c:pt>
                <c:pt idx="8">
                  <c:v>3</c:v>
                </c:pt>
                <c:pt idx="10">
                  <c:v>5</c:v>
                </c:pt>
                <c:pt idx="12">
                  <c:v>7</c:v>
                </c:pt>
                <c:pt idx="14">
                  <c:v>9</c:v>
                </c:pt>
                <c:pt idx="16">
                  <c:v>11</c:v>
                </c:pt>
                <c:pt idx="18">
                  <c:v>13</c:v>
                </c:pt>
                <c:pt idx="20">
                  <c:v>15</c:v>
                </c:pt>
                <c:pt idx="22">
                  <c:v>17</c:v>
                </c:pt>
                <c:pt idx="24">
                  <c:v>19</c:v>
                </c:pt>
                <c:pt idx="26">
                  <c:v>21</c:v>
                </c:pt>
              </c:strCache>
            </c:strRef>
          </c:cat>
          <c:val>
            <c:numRef>
              <c:f>Feuil1!$E$2:$E$28</c:f>
            </c:numRef>
          </c:val>
          <c:smooth val="0"/>
          <c:extLst>
            <c:ext xmlns:c16="http://schemas.microsoft.com/office/drawing/2014/chart" uri="{C3380CC4-5D6E-409C-BE32-E72D297353CC}">
              <c16:uniqueId val="{00000001-D02F-4D45-A427-EE26E5FD63BD}"/>
            </c:ext>
          </c:extLst>
        </c:ser>
        <c:dLbls>
          <c:showLegendKey val="0"/>
          <c:showVal val="0"/>
          <c:showCatName val="0"/>
          <c:showSerName val="0"/>
          <c:showPercent val="0"/>
          <c:showBubbleSize val="0"/>
        </c:dLbls>
        <c:marker val="1"/>
        <c:smooth val="0"/>
        <c:axId val="39205888"/>
        <c:axId val="39203968"/>
      </c:lineChart>
      <c:valAx>
        <c:axId val="39196160"/>
        <c:scaling>
          <c:orientation val="minMax"/>
        </c:scaling>
        <c:delete val="0"/>
        <c:axPos val="l"/>
        <c:majorGridlines>
          <c:spPr>
            <a:ln w="6350" cap="flat" cmpd="sng" algn="ctr">
              <a:no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fr-CA" sz="700" b="0"/>
                  <a:t>Nbre. de publications</a:t>
                </a:r>
              </a:p>
            </c:rich>
          </c:tx>
          <c:layout>
            <c:manualLayout>
              <c:xMode val="edge"/>
              <c:yMode val="edge"/>
              <c:x val="3.9246467817896386E-3"/>
              <c:y val="0.3486520564637337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fr-FR"/>
            </a:p>
          </c:txPr>
        </c:title>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crossAx val="39198080"/>
        <c:crosses val="autoZero"/>
        <c:crossBetween val="between"/>
      </c:valAx>
      <c:catAx>
        <c:axId val="39198080"/>
        <c:scaling>
          <c:orientation val="minMax"/>
        </c:scaling>
        <c:delete val="0"/>
        <c:axPos val="b"/>
        <c:numFmt formatCode="General" sourceLinked="0"/>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r-FR"/>
          </a:p>
        </c:txPr>
        <c:crossAx val="39196160"/>
        <c:crosses val="autoZero"/>
        <c:auto val="1"/>
        <c:lblAlgn val="ctr"/>
        <c:lblOffset val="100"/>
        <c:noMultiLvlLbl val="0"/>
      </c:catAx>
      <c:valAx>
        <c:axId val="39203968"/>
        <c:scaling>
          <c:orientation val="minMax"/>
        </c:scaling>
        <c:delete val="0"/>
        <c:axPos val="r"/>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fr-CA" sz="700" b="0"/>
                  <a:t>Nbre. de</a:t>
                </a:r>
                <a:r>
                  <a:rPr lang="fr-CA" sz="700" b="0" baseline="0"/>
                  <a:t> citations</a:t>
                </a:r>
              </a:p>
            </c:rich>
          </c:tx>
          <c:layout>
            <c:manualLayout>
              <c:xMode val="edge"/>
              <c:yMode val="edge"/>
              <c:x val="0.95293205107603296"/>
              <c:y val="0.39126252569697045"/>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fr-FR"/>
            </a:p>
          </c:txPr>
        </c:title>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crossAx val="39205888"/>
        <c:crosses val="max"/>
        <c:crossBetween val="between"/>
      </c:valAx>
      <c:catAx>
        <c:axId val="39205888"/>
        <c:scaling>
          <c:orientation val="minMax"/>
        </c:scaling>
        <c:delete val="1"/>
        <c:axPos val="b"/>
        <c:numFmt formatCode="General" sourceLinked="1"/>
        <c:majorTickMark val="out"/>
        <c:minorTickMark val="none"/>
        <c:tickLblPos val="nextTo"/>
        <c:crossAx val="39203968"/>
        <c:crosses val="autoZero"/>
        <c:auto val="1"/>
        <c:lblAlgn val="ctr"/>
        <c:lblOffset val="100"/>
        <c:noMultiLvlLbl val="0"/>
      </c:catAx>
      <c:spPr>
        <a:solidFill>
          <a:schemeClr val="bg1"/>
        </a:solidFill>
        <a:ln>
          <a:noFill/>
        </a:ln>
        <a:effectLst/>
      </c:spPr>
    </c:plotArea>
    <c:legend>
      <c:legendPos val="b"/>
      <c:layout>
        <c:manualLayout>
          <c:xMode val="edge"/>
          <c:yMode val="edge"/>
          <c:x val="0.24651155173335484"/>
          <c:y val="0.84196292483162027"/>
          <c:w val="0.50701121151064921"/>
          <c:h val="7.4094024180874393E-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fr-FR"/>
        </a:p>
      </c:txPr>
    </c:legend>
    <c:plotVisOnly val="1"/>
    <c:dispBlanksAs val="gap"/>
    <c:showDLblsOverMax val="0"/>
  </c:chart>
  <c:spPr>
    <a:solidFill>
      <a:schemeClr val="bg1"/>
    </a:solidFill>
    <a:ln w="6350" cap="flat" cmpd="sng" algn="ctr">
      <a:noFill/>
      <a:prstDash val="solid"/>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baseline="0">
                <a:solidFill>
                  <a:schemeClr val="tx1"/>
                </a:solidFill>
                <a:latin typeface="+mn-lt"/>
                <a:ea typeface="+mn-ea"/>
                <a:cs typeface="+mn-cs"/>
              </a:defRPr>
            </a:pPr>
            <a:r>
              <a:rPr lang="fr-CA" sz="1400" b="1">
                <a:solidFill>
                  <a:sysClr val="windowText" lastClr="000000"/>
                </a:solidFill>
              </a:rPr>
              <a:t>Articles</a:t>
            </a:r>
            <a:r>
              <a:rPr lang="fr-CA" sz="1400" b="1" baseline="0">
                <a:solidFill>
                  <a:sysClr val="windowText" lastClr="000000"/>
                </a:solidFill>
              </a:rPr>
              <a:t> </a:t>
            </a:r>
            <a:r>
              <a:rPr lang="fr-CA" sz="1400" b="1">
                <a:solidFill>
                  <a:sysClr val="windowText" lastClr="000000"/>
                </a:solidFill>
              </a:rPr>
              <a:t>selon l'impact des revues (SNIP)</a:t>
            </a:r>
            <a:r>
              <a:rPr lang="fr-CA" sz="1200" b="1" baseline="30000">
                <a:solidFill>
                  <a:sysClr val="windowText" lastClr="000000"/>
                </a:solidFill>
              </a:rPr>
              <a:t>5</a:t>
            </a:r>
            <a:endParaRPr lang="fr-CA" sz="1200" b="0" baseline="30000"/>
          </a:p>
        </c:rich>
      </c:tx>
      <c:layout>
        <c:manualLayout>
          <c:xMode val="edge"/>
          <c:yMode val="edge"/>
          <c:x val="0.197427873785608"/>
          <c:y val="4.8063415196151572E-2"/>
        </c:manualLayout>
      </c:layout>
      <c:overlay val="0"/>
      <c:spPr>
        <a:noFill/>
        <a:ln>
          <a:noFill/>
        </a:ln>
        <a:effectLst/>
      </c:spPr>
      <c:txPr>
        <a:bodyPr rot="0" spcFirstLastPara="1" vertOverflow="ellipsis" vert="horz" wrap="square" anchor="ctr" anchorCtr="1"/>
        <a:lstStyle/>
        <a:p>
          <a:pPr>
            <a:defRPr sz="1800" b="0" i="0" u="none" strike="noStrike" kern="1200" baseline="0">
              <a:solidFill>
                <a:schemeClr val="tx1"/>
              </a:solidFill>
              <a:latin typeface="+mn-lt"/>
              <a:ea typeface="+mn-ea"/>
              <a:cs typeface="+mn-cs"/>
            </a:defRPr>
          </a:pPr>
          <a:endParaRPr lang="fr-FR"/>
        </a:p>
      </c:txPr>
    </c:title>
    <c:autoTitleDeleted val="0"/>
    <c:plotArea>
      <c:layout>
        <c:manualLayout>
          <c:layoutTarget val="inner"/>
          <c:xMode val="edge"/>
          <c:yMode val="edge"/>
          <c:x val="0.16833026377209243"/>
          <c:y val="0.40572580142521764"/>
          <c:w val="0.78866311065955463"/>
          <c:h val="0.45105454221341318"/>
        </c:manualLayout>
      </c:layout>
      <c:barChart>
        <c:barDir val="col"/>
        <c:grouping val="percentStacked"/>
        <c:varyColors val="0"/>
        <c:ser>
          <c:idx val="0"/>
          <c:order val="0"/>
          <c:tx>
            <c:strRef>
              <c:f>Feuil1!$B$1</c:f>
              <c:strCache>
                <c:ptCount val="1"/>
                <c:pt idx="0">
                  <c:v>Top 5%</c:v>
                </c:pt>
              </c:strCache>
            </c:strRef>
          </c:tx>
          <c:spPr>
            <a:solidFill>
              <a:schemeClr val="accent6"/>
            </a:solidFill>
            <a:ln>
              <a:noFill/>
            </a:ln>
            <a:effectLst/>
          </c:spPr>
          <c:invertIfNegative val="0"/>
          <c:dLbls>
            <c:dLbl>
              <c:idx val="0"/>
              <c:layout>
                <c:manualLayout>
                  <c:x val="-3.9468507099136252E-17"/>
                  <c:y val="9.9761456419051003E-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E65-4E1B-BFE8-79A012CD2033}"/>
                </c:ext>
              </c:extLst>
            </c:dLbl>
            <c:dLbl>
              <c:idx val="2"/>
              <c:layout>
                <c:manualLayout>
                  <c:x val="0"/>
                  <c:y val="1.43945847018582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B44-4FBB-8391-490103F24E65}"/>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Feuil1!$A$2:$A$4</c:f>
              <c:strCache>
                <c:ptCount val="3"/>
                <c:pt idx="0">
                  <c:v>≥ 1996</c:v>
                </c:pt>
                <c:pt idx="1">
                  <c:v>2017 à ≥2022</c:v>
                </c:pt>
                <c:pt idx="2">
                  <c:v>2020 à ≥2022</c:v>
                </c:pt>
              </c:strCache>
            </c:strRef>
          </c:cat>
          <c:val>
            <c:numRef>
              <c:f>Feuil1!$B$2:$B$4</c:f>
              <c:numCache>
                <c:formatCode>General</c:formatCode>
                <c:ptCount val="3"/>
                <c:pt idx="0">
                  <c:v>2</c:v>
                </c:pt>
                <c:pt idx="1">
                  <c:v>4</c:v>
                </c:pt>
                <c:pt idx="2">
                  <c:v>8</c:v>
                </c:pt>
              </c:numCache>
            </c:numRef>
          </c:val>
          <c:extLst>
            <c:ext xmlns:c16="http://schemas.microsoft.com/office/drawing/2014/chart" uri="{C3380CC4-5D6E-409C-BE32-E72D297353CC}">
              <c16:uniqueId val="{00000003-3E65-4E1B-BFE8-79A012CD2033}"/>
            </c:ext>
          </c:extLst>
        </c:ser>
        <c:ser>
          <c:idx val="1"/>
          <c:order val="1"/>
          <c:tx>
            <c:strRef>
              <c:f>Feuil1!$C$1</c:f>
              <c:strCache>
                <c:ptCount val="1"/>
                <c:pt idx="0">
                  <c:v>Top 10%</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Feuil1!$A$2:$A$4</c:f>
              <c:strCache>
                <c:ptCount val="3"/>
                <c:pt idx="0">
                  <c:v>≥ 1996</c:v>
                </c:pt>
                <c:pt idx="1">
                  <c:v>2017 à ≥2022</c:v>
                </c:pt>
                <c:pt idx="2">
                  <c:v>2020 à ≥2022</c:v>
                </c:pt>
              </c:strCache>
            </c:strRef>
          </c:cat>
          <c:val>
            <c:numRef>
              <c:f>Feuil1!$C$2:$C$4</c:f>
              <c:numCache>
                <c:formatCode>General</c:formatCode>
                <c:ptCount val="3"/>
                <c:pt idx="0">
                  <c:v>2</c:v>
                </c:pt>
                <c:pt idx="1">
                  <c:v>12</c:v>
                </c:pt>
                <c:pt idx="2">
                  <c:v>2</c:v>
                </c:pt>
              </c:numCache>
            </c:numRef>
          </c:val>
          <c:extLst>
            <c:ext xmlns:c16="http://schemas.microsoft.com/office/drawing/2014/chart" uri="{C3380CC4-5D6E-409C-BE32-E72D297353CC}">
              <c16:uniqueId val="{00000004-3E65-4E1B-BFE8-79A012CD2033}"/>
            </c:ext>
          </c:extLst>
        </c:ser>
        <c:ser>
          <c:idx val="2"/>
          <c:order val="2"/>
          <c:tx>
            <c:strRef>
              <c:f>Feuil1!$D$1</c:f>
              <c:strCache>
                <c:ptCount val="1"/>
                <c:pt idx="0">
                  <c:v>Top 25%</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Feuil1!$A$2:$A$4</c:f>
              <c:strCache>
                <c:ptCount val="3"/>
                <c:pt idx="0">
                  <c:v>≥ 1996</c:v>
                </c:pt>
                <c:pt idx="1">
                  <c:v>2017 à ≥2022</c:v>
                </c:pt>
                <c:pt idx="2">
                  <c:v>2020 à ≥2022</c:v>
                </c:pt>
              </c:strCache>
            </c:strRef>
          </c:cat>
          <c:val>
            <c:numRef>
              <c:f>Feuil1!$D$2:$D$4</c:f>
              <c:numCache>
                <c:formatCode>General</c:formatCode>
                <c:ptCount val="3"/>
                <c:pt idx="0">
                  <c:v>16</c:v>
                </c:pt>
                <c:pt idx="1">
                  <c:v>4</c:v>
                </c:pt>
                <c:pt idx="2">
                  <c:v>10</c:v>
                </c:pt>
              </c:numCache>
            </c:numRef>
          </c:val>
          <c:extLst>
            <c:ext xmlns:c16="http://schemas.microsoft.com/office/drawing/2014/chart" uri="{C3380CC4-5D6E-409C-BE32-E72D297353CC}">
              <c16:uniqueId val="{00000005-3E65-4E1B-BFE8-79A012CD2033}"/>
            </c:ext>
          </c:extLst>
        </c:ser>
        <c:ser>
          <c:idx val="3"/>
          <c:order val="3"/>
          <c:tx>
            <c:strRef>
              <c:f>Feuil1!$E$1</c:f>
              <c:strCache>
                <c:ptCount val="1"/>
                <c:pt idx="0">
                  <c:v>Autres</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Feuil1!$A$2:$A$4</c:f>
              <c:strCache>
                <c:ptCount val="3"/>
                <c:pt idx="0">
                  <c:v>≥ 1996</c:v>
                </c:pt>
                <c:pt idx="1">
                  <c:v>2017 à ≥2022</c:v>
                </c:pt>
                <c:pt idx="2">
                  <c:v>2020 à ≥2022</c:v>
                </c:pt>
              </c:strCache>
            </c:strRef>
          </c:cat>
          <c:val>
            <c:numRef>
              <c:f>Feuil1!$E$2:$E$4</c:f>
              <c:numCache>
                <c:formatCode>General</c:formatCode>
                <c:ptCount val="3"/>
                <c:pt idx="0">
                  <c:v>5</c:v>
                </c:pt>
                <c:pt idx="1">
                  <c:v>1</c:v>
                </c:pt>
                <c:pt idx="2">
                  <c:v>0</c:v>
                </c:pt>
              </c:numCache>
            </c:numRef>
          </c:val>
          <c:extLst>
            <c:ext xmlns:c16="http://schemas.microsoft.com/office/drawing/2014/chart" uri="{C3380CC4-5D6E-409C-BE32-E72D297353CC}">
              <c16:uniqueId val="{00000006-3E65-4E1B-BFE8-79A012CD2033}"/>
            </c:ext>
          </c:extLst>
        </c:ser>
        <c:dLbls>
          <c:showLegendKey val="0"/>
          <c:showVal val="1"/>
          <c:showCatName val="0"/>
          <c:showSerName val="0"/>
          <c:showPercent val="0"/>
          <c:showBubbleSize val="0"/>
        </c:dLbls>
        <c:gapWidth val="216"/>
        <c:overlap val="100"/>
        <c:axId val="39258368"/>
        <c:axId val="39268352"/>
      </c:barChart>
      <c:catAx>
        <c:axId val="39258368"/>
        <c:scaling>
          <c:orientation val="minMax"/>
        </c:scaling>
        <c:delete val="0"/>
        <c:axPos val="t"/>
        <c:numFmt formatCode="General" sourceLinked="0"/>
        <c:majorTickMark val="out"/>
        <c:minorTickMark val="none"/>
        <c:tickLblPos val="high"/>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crossAx val="39268352"/>
        <c:crosses val="autoZero"/>
        <c:auto val="1"/>
        <c:lblAlgn val="ctr"/>
        <c:lblOffset val="300"/>
        <c:tickMarkSkip val="1"/>
        <c:noMultiLvlLbl val="0"/>
      </c:catAx>
      <c:valAx>
        <c:axId val="39268352"/>
        <c:scaling>
          <c:orientation val="maxMin"/>
        </c:scaling>
        <c:delete val="0"/>
        <c:axPos val="l"/>
        <c:majorGridlines>
          <c:spPr>
            <a:ln w="6350" cap="flat" cmpd="sng" algn="ctr">
              <a:solidFill>
                <a:schemeClr val="tx1">
                  <a:tint val="75000"/>
                </a:schemeClr>
              </a:solidFill>
              <a:prstDash val="solid"/>
              <a:round/>
            </a:ln>
            <a:effectLst/>
          </c:spPr>
        </c:majorGridlines>
        <c:numFmt formatCode="0%"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crossAx val="39258368"/>
        <c:crosses val="autoZero"/>
        <c:crossBetween val="between"/>
      </c:valAx>
      <c:spPr>
        <a:solidFill>
          <a:schemeClr val="bg1"/>
        </a:solidFill>
        <a:ln>
          <a:noFill/>
        </a:ln>
        <a:effectLst/>
      </c:spPr>
    </c:plotArea>
    <c:legend>
      <c:legendPos val="t"/>
      <c:layout>
        <c:manualLayout>
          <c:xMode val="edge"/>
          <c:yMode val="edge"/>
          <c:x val="8.1122520409785584E-2"/>
          <c:y val="0.24072919165267451"/>
          <c:w val="0.88091335192358222"/>
          <c:h val="8.6749404585400675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legend>
    <c:plotVisOnly val="1"/>
    <c:dispBlanksAs val="gap"/>
    <c:showDLblsOverMax val="0"/>
  </c:chart>
  <c:spPr>
    <a:solidFill>
      <a:schemeClr val="bg1"/>
    </a:solidFill>
    <a:ln w="6350" cap="flat" cmpd="sng" algn="ctr">
      <a:noFill/>
      <a:prstDash val="solid"/>
      <a:round/>
    </a:ln>
    <a:effectLst/>
  </c:spPr>
  <c:txPr>
    <a:bodyPr/>
    <a:lstStyle/>
    <a:p>
      <a:pPr>
        <a:defRPr/>
      </a:pPr>
      <a:endParaRPr lang="fr-FR"/>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baseline="0">
                <a:solidFill>
                  <a:schemeClr val="tx1"/>
                </a:solidFill>
                <a:latin typeface="+mn-lt"/>
                <a:ea typeface="+mn-ea"/>
                <a:cs typeface="+mn-cs"/>
              </a:defRPr>
            </a:pPr>
            <a:r>
              <a:rPr lang="fr-CA" sz="1400" b="1">
                <a:solidFill>
                  <a:sysClr val="windowText" lastClr="000000"/>
                </a:solidFill>
              </a:rPr>
              <a:t>Collaborations</a:t>
            </a:r>
            <a:endParaRPr lang="fr-CA" sz="1100" b="1">
              <a:solidFill>
                <a:sysClr val="windowText" lastClr="000000"/>
              </a:solidFill>
            </a:endParaRPr>
          </a:p>
        </c:rich>
      </c:tx>
      <c:layout>
        <c:manualLayout>
          <c:xMode val="edge"/>
          <c:yMode val="edge"/>
          <c:x val="0.33519360094158041"/>
          <c:y val="5.3563754065283728E-2"/>
        </c:manualLayout>
      </c:layout>
      <c:overlay val="0"/>
      <c:spPr>
        <a:noFill/>
        <a:ln>
          <a:noFill/>
        </a:ln>
        <a:effectLst/>
      </c:spPr>
      <c:txPr>
        <a:bodyPr rot="0" spcFirstLastPara="1" vertOverflow="ellipsis" vert="horz" wrap="square" anchor="ctr" anchorCtr="1"/>
        <a:lstStyle/>
        <a:p>
          <a:pPr>
            <a:defRPr sz="1800" b="0" i="0" u="none" strike="noStrike" kern="1200" baseline="0">
              <a:solidFill>
                <a:schemeClr val="tx1"/>
              </a:solidFill>
              <a:latin typeface="+mn-lt"/>
              <a:ea typeface="+mn-ea"/>
              <a:cs typeface="+mn-cs"/>
            </a:defRPr>
          </a:pPr>
          <a:endParaRPr lang="fr-FR"/>
        </a:p>
      </c:txPr>
    </c:title>
    <c:autoTitleDeleted val="0"/>
    <c:plotArea>
      <c:layout>
        <c:manualLayout>
          <c:layoutTarget val="inner"/>
          <c:xMode val="edge"/>
          <c:yMode val="edge"/>
          <c:x val="0.1801042040074661"/>
          <c:y val="0.37373678613991912"/>
          <c:w val="0.78866311065955463"/>
          <c:h val="0.50005015296654798"/>
        </c:manualLayout>
      </c:layout>
      <c:barChart>
        <c:barDir val="col"/>
        <c:grouping val="percentStacked"/>
        <c:varyColors val="0"/>
        <c:ser>
          <c:idx val="0"/>
          <c:order val="0"/>
          <c:tx>
            <c:strRef>
              <c:f>Feuil1!$B$1</c:f>
              <c:strCache>
                <c:ptCount val="1"/>
                <c:pt idx="0">
                  <c:v>Internat.</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Feuil1!$A$2:$A$4</c:f>
              <c:strCache>
                <c:ptCount val="3"/>
                <c:pt idx="0">
                  <c:v>≥ 1996</c:v>
                </c:pt>
                <c:pt idx="1">
                  <c:v>2017 à ≥2022</c:v>
                </c:pt>
                <c:pt idx="2">
                  <c:v>2020 à ≥2022</c:v>
                </c:pt>
              </c:strCache>
            </c:strRef>
          </c:cat>
          <c:val>
            <c:numRef>
              <c:f>Feuil1!$B$2:$B$4</c:f>
              <c:numCache>
                <c:formatCode>General</c:formatCode>
                <c:ptCount val="3"/>
                <c:pt idx="0">
                  <c:v>1</c:v>
                </c:pt>
                <c:pt idx="1">
                  <c:v>1</c:v>
                </c:pt>
                <c:pt idx="2">
                  <c:v>1</c:v>
                </c:pt>
              </c:numCache>
            </c:numRef>
          </c:val>
          <c:extLst>
            <c:ext xmlns:c16="http://schemas.microsoft.com/office/drawing/2014/chart" uri="{C3380CC4-5D6E-409C-BE32-E72D297353CC}">
              <c16:uniqueId val="{00000000-AD6A-49C4-90AC-F6E132139FDA}"/>
            </c:ext>
          </c:extLst>
        </c:ser>
        <c:ser>
          <c:idx val="1"/>
          <c:order val="1"/>
          <c:tx>
            <c:strRef>
              <c:f>Feuil1!$C$1</c:f>
              <c:strCache>
                <c:ptCount val="1"/>
                <c:pt idx="0">
                  <c:v>Nationale</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Feuil1!$A$2:$A$4</c:f>
              <c:strCache>
                <c:ptCount val="3"/>
                <c:pt idx="0">
                  <c:v>≥ 1996</c:v>
                </c:pt>
                <c:pt idx="1">
                  <c:v>2017 à ≥2022</c:v>
                </c:pt>
                <c:pt idx="2">
                  <c:v>2020 à ≥2022</c:v>
                </c:pt>
              </c:strCache>
            </c:strRef>
          </c:cat>
          <c:val>
            <c:numRef>
              <c:f>Feuil1!$C$2:$C$4</c:f>
              <c:numCache>
                <c:formatCode>General</c:formatCode>
                <c:ptCount val="3"/>
                <c:pt idx="0">
                  <c:v>1</c:v>
                </c:pt>
                <c:pt idx="1">
                  <c:v>1</c:v>
                </c:pt>
                <c:pt idx="2">
                  <c:v>1</c:v>
                </c:pt>
              </c:numCache>
            </c:numRef>
          </c:val>
          <c:extLst>
            <c:ext xmlns:c16="http://schemas.microsoft.com/office/drawing/2014/chart" uri="{C3380CC4-5D6E-409C-BE32-E72D297353CC}">
              <c16:uniqueId val="{00000001-AD6A-49C4-90AC-F6E132139FDA}"/>
            </c:ext>
          </c:extLst>
        </c:ser>
        <c:ser>
          <c:idx val="2"/>
          <c:order val="2"/>
          <c:tx>
            <c:strRef>
              <c:f>Feuil1!$D$1</c:f>
              <c:strCache>
                <c:ptCount val="1"/>
                <c:pt idx="0">
                  <c:v>Inst.</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0"/>
              <a:lstStyle/>
              <a:p>
                <a:pPr algn="just">
                  <a:defRPr sz="800" b="0" i="0" u="none" strike="noStrike" kern="1200" baseline="0">
                    <a:solidFill>
                      <a:sysClr val="windowText" lastClr="000000"/>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Feuil1!$A$2:$A$4</c:f>
              <c:strCache>
                <c:ptCount val="3"/>
                <c:pt idx="0">
                  <c:v>≥ 1996</c:v>
                </c:pt>
                <c:pt idx="1">
                  <c:v>2017 à ≥2022</c:v>
                </c:pt>
                <c:pt idx="2">
                  <c:v>2020 à ≥2022</c:v>
                </c:pt>
              </c:strCache>
            </c:strRef>
          </c:cat>
          <c:val>
            <c:numRef>
              <c:f>Feuil1!$D$2:$D$4</c:f>
              <c:numCache>
                <c:formatCode>General</c:formatCode>
                <c:ptCount val="3"/>
                <c:pt idx="0">
                  <c:v>1</c:v>
                </c:pt>
                <c:pt idx="1">
                  <c:v>1</c:v>
                </c:pt>
                <c:pt idx="2">
                  <c:v>1</c:v>
                </c:pt>
              </c:numCache>
            </c:numRef>
          </c:val>
          <c:extLst>
            <c:ext xmlns:c16="http://schemas.microsoft.com/office/drawing/2014/chart" uri="{C3380CC4-5D6E-409C-BE32-E72D297353CC}">
              <c16:uniqueId val="{00000002-AD6A-49C4-90AC-F6E132139FDA}"/>
            </c:ext>
          </c:extLst>
        </c:ser>
        <c:ser>
          <c:idx val="3"/>
          <c:order val="3"/>
          <c:tx>
            <c:strRef>
              <c:f>Feuil1!$E$1</c:f>
              <c:strCache>
                <c:ptCount val="1"/>
                <c:pt idx="0">
                  <c:v>Aucune</c:v>
                </c:pt>
              </c:strCache>
            </c:strRef>
          </c:tx>
          <c:spPr>
            <a:solidFill>
              <a:schemeClr val="accent6">
                <a:lumMod val="60000"/>
              </a:schemeClr>
            </a:solidFill>
            <a:ln>
              <a:noFill/>
            </a:ln>
            <a:effectLst/>
          </c:spPr>
          <c:invertIfNegative val="0"/>
          <c:dLbls>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D6A-49C4-90AC-F6E132139FDA}"/>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6350" cap="flat" cmpd="sng" algn="ctr">
                      <a:solidFill>
                        <a:schemeClr val="tx1"/>
                      </a:solidFill>
                      <a:prstDash val="solid"/>
                      <a:round/>
                    </a:ln>
                    <a:effectLst/>
                  </c:spPr>
                </c15:leaderLines>
              </c:ext>
            </c:extLst>
          </c:dLbls>
          <c:cat>
            <c:strRef>
              <c:f>Feuil1!$A$2:$A$4</c:f>
              <c:strCache>
                <c:ptCount val="3"/>
                <c:pt idx="0">
                  <c:v>≥ 1996</c:v>
                </c:pt>
                <c:pt idx="1">
                  <c:v>2017 à ≥2022</c:v>
                </c:pt>
                <c:pt idx="2">
                  <c:v>2020 à ≥2022</c:v>
                </c:pt>
              </c:strCache>
            </c:strRef>
          </c:cat>
          <c:val>
            <c:numRef>
              <c:f>Feuil1!$E$2:$E$4</c:f>
              <c:numCache>
                <c:formatCode>General</c:formatCode>
                <c:ptCount val="3"/>
                <c:pt idx="0">
                  <c:v>1</c:v>
                </c:pt>
              </c:numCache>
            </c:numRef>
          </c:val>
          <c:extLst>
            <c:ext xmlns:c16="http://schemas.microsoft.com/office/drawing/2014/chart" uri="{C3380CC4-5D6E-409C-BE32-E72D297353CC}">
              <c16:uniqueId val="{00000004-AD6A-49C4-90AC-F6E132139FDA}"/>
            </c:ext>
          </c:extLst>
        </c:ser>
        <c:dLbls>
          <c:dLblPos val="ctr"/>
          <c:showLegendKey val="0"/>
          <c:showVal val="1"/>
          <c:showCatName val="0"/>
          <c:showSerName val="0"/>
          <c:showPercent val="0"/>
          <c:showBubbleSize val="0"/>
        </c:dLbls>
        <c:gapWidth val="216"/>
        <c:overlap val="100"/>
        <c:axId val="38180352"/>
        <c:axId val="38181888"/>
      </c:barChart>
      <c:catAx>
        <c:axId val="38180352"/>
        <c:scaling>
          <c:orientation val="minMax"/>
        </c:scaling>
        <c:delete val="0"/>
        <c:axPos val="b"/>
        <c:numFmt formatCode="General" sourceLinked="0"/>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crossAx val="38181888"/>
        <c:crosses val="autoZero"/>
        <c:auto val="1"/>
        <c:lblAlgn val="ctr"/>
        <c:lblOffset val="300"/>
        <c:tickMarkSkip val="1"/>
        <c:noMultiLvlLbl val="0"/>
      </c:catAx>
      <c:valAx>
        <c:axId val="38181888"/>
        <c:scaling>
          <c:orientation val="minMax"/>
        </c:scaling>
        <c:delete val="0"/>
        <c:axPos val="l"/>
        <c:majorGridlines>
          <c:spPr>
            <a:ln w="6350" cap="flat" cmpd="sng" algn="ctr">
              <a:solidFill>
                <a:schemeClr val="tx1">
                  <a:tint val="75000"/>
                </a:schemeClr>
              </a:solidFill>
              <a:prstDash val="solid"/>
              <a:round/>
            </a:ln>
            <a:effectLst/>
          </c:spPr>
        </c:majorGridlines>
        <c:numFmt formatCode="0%"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crossAx val="38180352"/>
        <c:crosses val="autoZero"/>
        <c:crossBetween val="between"/>
      </c:valAx>
      <c:spPr>
        <a:solidFill>
          <a:schemeClr val="bg1"/>
        </a:solidFill>
        <a:ln>
          <a:noFill/>
        </a:ln>
        <a:effectLst/>
      </c:spPr>
    </c:plotArea>
    <c:legend>
      <c:legendPos val="b"/>
      <c:layout>
        <c:manualLayout>
          <c:xMode val="edge"/>
          <c:yMode val="edge"/>
          <c:x val="0.12467428521984203"/>
          <c:y val="0.15661377660006462"/>
          <c:w val="0.78762314738130257"/>
          <c:h val="8.6749404585400675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legend>
    <c:plotVisOnly val="1"/>
    <c:dispBlanksAs val="gap"/>
    <c:showDLblsOverMax val="0"/>
  </c:chart>
  <c:spPr>
    <a:solidFill>
      <a:schemeClr val="bg1"/>
    </a:solidFill>
    <a:ln w="6350" cap="flat" cmpd="sng" algn="ctr">
      <a:noFill/>
      <a:prstDash val="solid"/>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0.74273</cdr:x>
      <cdr:y>0.28808</cdr:y>
    </cdr:from>
    <cdr:to>
      <cdr:x>0.85575</cdr:x>
      <cdr:y>0.38163</cdr:y>
    </cdr:to>
    <cdr:sp macro="" textlink="">
      <cdr:nvSpPr>
        <cdr:cNvPr id="2" name="Zone de texte 1"/>
        <cdr:cNvSpPr txBox="1"/>
      </cdr:nvSpPr>
      <cdr:spPr>
        <a:xfrm xmlns:a="http://schemas.openxmlformats.org/drawingml/2006/main">
          <a:off x="2190751" y="713987"/>
          <a:ext cx="333361" cy="23185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fr-CA" sz="1100"/>
        </a:p>
      </cdr:txBody>
    </cdr:sp>
  </cdr:relSizeAnchor>
  <cdr:relSizeAnchor xmlns:cdr="http://schemas.openxmlformats.org/drawingml/2006/chartDrawing">
    <cdr:from>
      <cdr:x>0.24219</cdr:x>
      <cdr:y>0.27287</cdr:y>
    </cdr:from>
    <cdr:to>
      <cdr:x>0.38428</cdr:x>
      <cdr:y>0.36389</cdr:y>
    </cdr:to>
    <cdr:sp macro="" textlink="">
      <cdr:nvSpPr>
        <cdr:cNvPr id="3" name="Zone de texte 2"/>
        <cdr:cNvSpPr txBox="1"/>
      </cdr:nvSpPr>
      <cdr:spPr>
        <a:xfrm xmlns:a="http://schemas.openxmlformats.org/drawingml/2006/main">
          <a:off x="714368" y="676282"/>
          <a:ext cx="419106" cy="22558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fr-CA" sz="1100"/>
            <a:t>XX</a:t>
          </a:r>
        </a:p>
      </cdr:txBody>
    </cdr:sp>
  </cdr:relSizeAnchor>
  <cdr:relSizeAnchor xmlns:cdr="http://schemas.openxmlformats.org/drawingml/2006/chartDrawing">
    <cdr:from>
      <cdr:x>0.49714</cdr:x>
      <cdr:y>0.27269</cdr:y>
    </cdr:from>
    <cdr:to>
      <cdr:x>0.61986</cdr:x>
      <cdr:y>0.35904</cdr:y>
    </cdr:to>
    <cdr:sp macro="" textlink="">
      <cdr:nvSpPr>
        <cdr:cNvPr id="5" name="Zone de texte 1"/>
        <cdr:cNvSpPr txBox="1"/>
      </cdr:nvSpPr>
      <cdr:spPr>
        <a:xfrm xmlns:a="http://schemas.openxmlformats.org/drawingml/2006/main">
          <a:off x="1466362" y="675836"/>
          <a:ext cx="361972" cy="21401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fr-CA" sz="1100"/>
            <a:t>XX</a:t>
          </a:r>
        </a:p>
      </cdr:txBody>
    </cdr:sp>
  </cdr:relSizeAnchor>
  <cdr:relSizeAnchor xmlns:cdr="http://schemas.openxmlformats.org/drawingml/2006/chartDrawing">
    <cdr:from>
      <cdr:x>0.77379</cdr:x>
      <cdr:y>0.27695</cdr:y>
    </cdr:from>
    <cdr:to>
      <cdr:x>0.8965</cdr:x>
      <cdr:y>0.37304</cdr:y>
    </cdr:to>
    <cdr:sp macro="" textlink="">
      <cdr:nvSpPr>
        <cdr:cNvPr id="4" name="Zone de texte 3"/>
        <cdr:cNvSpPr txBox="1"/>
      </cdr:nvSpPr>
      <cdr:spPr>
        <a:xfrm xmlns:a="http://schemas.openxmlformats.org/drawingml/2006/main">
          <a:off x="2282348" y="686406"/>
          <a:ext cx="361943" cy="23812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fr-CA" sz="1100"/>
            <a:t>X</a:t>
          </a:r>
        </a:p>
      </cdr:txBody>
    </cdr:sp>
  </cdr:relSizeAnchor>
</c:userShapes>
</file>

<file path=word/drawings/drawing2.xml><?xml version="1.0" encoding="utf-8"?>
<c:userShapes xmlns:c="http://schemas.openxmlformats.org/drawingml/2006/chart">
  <cdr:relSizeAnchor xmlns:cdr="http://schemas.openxmlformats.org/drawingml/2006/chartDrawing">
    <cdr:from>
      <cdr:x>0.60896</cdr:x>
      <cdr:y>0.40833</cdr:y>
    </cdr:from>
    <cdr:to>
      <cdr:x>0.67666</cdr:x>
      <cdr:y>0.82698</cdr:y>
    </cdr:to>
    <cdr:sp macro="" textlink="">
      <cdr:nvSpPr>
        <cdr:cNvPr id="2" name="Accolade fermante 1"/>
        <cdr:cNvSpPr/>
      </cdr:nvSpPr>
      <cdr:spPr>
        <a:xfrm xmlns:a="http://schemas.openxmlformats.org/drawingml/2006/main">
          <a:off x="1796173" y="1080978"/>
          <a:ext cx="199681" cy="1108306"/>
        </a:xfrm>
        <a:prstGeom xmlns:a="http://schemas.openxmlformats.org/drawingml/2006/main" prst="rightBrace">
          <a:avLst>
            <a:gd name="adj1" fmla="val 8333"/>
            <a:gd name="adj2" fmla="val 51961"/>
          </a:avLst>
        </a:prstGeom>
        <a:ln xmlns:a="http://schemas.openxmlformats.org/drawingml/2006/main">
          <a:solidFill>
            <a:srgbClr val="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wrap="square">
          <a:noAutofit/>
        </a:bodyPr>
        <a:lstStyle xmlns:a="http://schemas.openxmlformats.org/drawingml/2006/main"/>
        <a:p xmlns:a="http://schemas.openxmlformats.org/drawingml/2006/main">
          <a:endParaRPr lang="fr-FR"/>
        </a:p>
      </cdr:txBody>
    </cdr:sp>
  </cdr:relSizeAnchor>
  <cdr:relSizeAnchor xmlns:cdr="http://schemas.openxmlformats.org/drawingml/2006/chartDrawing">
    <cdr:from>
      <cdr:x>0.63584</cdr:x>
      <cdr:y>0.55787</cdr:y>
    </cdr:from>
    <cdr:to>
      <cdr:x>0.79489</cdr:x>
      <cdr:y>0.71706</cdr:y>
    </cdr:to>
    <cdr:sp macro="" textlink="">
      <cdr:nvSpPr>
        <cdr:cNvPr id="3" name="Zone de texte 2"/>
        <cdr:cNvSpPr txBox="1"/>
      </cdr:nvSpPr>
      <cdr:spPr>
        <a:xfrm xmlns:a="http://schemas.openxmlformats.org/drawingml/2006/main">
          <a:off x="1875455" y="1476847"/>
          <a:ext cx="469129" cy="42142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fr-CA" sz="900" b="1"/>
            <a:t>Top 25%</a:t>
          </a:r>
        </a:p>
      </cdr:txBody>
    </cdr:sp>
  </cdr:relSizeAnchor>
  <cdr:relSizeAnchor xmlns:cdr="http://schemas.openxmlformats.org/drawingml/2006/chartDrawing">
    <cdr:from>
      <cdr:x>0.2465</cdr:x>
      <cdr:y>0.31782</cdr:y>
    </cdr:from>
    <cdr:to>
      <cdr:x>0.38859</cdr:x>
      <cdr:y>0.40304</cdr:y>
    </cdr:to>
    <cdr:sp macro="" textlink="">
      <cdr:nvSpPr>
        <cdr:cNvPr id="4" name="Zone de texte 1"/>
        <cdr:cNvSpPr txBox="1"/>
      </cdr:nvSpPr>
      <cdr:spPr>
        <a:xfrm xmlns:a="http://schemas.openxmlformats.org/drawingml/2006/main">
          <a:off x="727058" y="841382"/>
          <a:ext cx="419105" cy="22558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fr-CA" sz="1100"/>
            <a:t>XX</a:t>
          </a:r>
        </a:p>
      </cdr:txBody>
    </cdr:sp>
  </cdr:relSizeAnchor>
  <cdr:relSizeAnchor xmlns:cdr="http://schemas.openxmlformats.org/drawingml/2006/chartDrawing">
    <cdr:from>
      <cdr:x>0.50591</cdr:x>
      <cdr:y>0.31902</cdr:y>
    </cdr:from>
    <cdr:to>
      <cdr:x>0.648</cdr:x>
      <cdr:y>0.40424</cdr:y>
    </cdr:to>
    <cdr:sp macro="" textlink="">
      <cdr:nvSpPr>
        <cdr:cNvPr id="5" name="Zone de texte 1"/>
        <cdr:cNvSpPr txBox="1"/>
      </cdr:nvSpPr>
      <cdr:spPr>
        <a:xfrm xmlns:a="http://schemas.openxmlformats.org/drawingml/2006/main">
          <a:off x="1492233" y="844557"/>
          <a:ext cx="419105" cy="22558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fr-CA" sz="1100"/>
            <a:t>XX</a:t>
          </a:r>
        </a:p>
      </cdr:txBody>
    </cdr:sp>
  </cdr:relSizeAnchor>
  <cdr:relSizeAnchor xmlns:cdr="http://schemas.openxmlformats.org/drawingml/2006/chartDrawing">
    <cdr:from>
      <cdr:x>0.78493</cdr:x>
      <cdr:y>0.32262</cdr:y>
    </cdr:from>
    <cdr:to>
      <cdr:x>0.92702</cdr:x>
      <cdr:y>0.40783</cdr:y>
    </cdr:to>
    <cdr:sp macro="" textlink="">
      <cdr:nvSpPr>
        <cdr:cNvPr id="6" name="Zone de texte 1"/>
        <cdr:cNvSpPr txBox="1"/>
      </cdr:nvSpPr>
      <cdr:spPr>
        <a:xfrm xmlns:a="http://schemas.openxmlformats.org/drawingml/2006/main">
          <a:off x="2315205" y="854082"/>
          <a:ext cx="419105" cy="22558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fr-CA" sz="1100"/>
            <a:t>XX</a:t>
          </a:r>
        </a:p>
      </cdr:txBody>
    </cdr:sp>
  </cdr:relSizeAnchor>
</c:userShapes>
</file>

<file path=word/drawings/drawing3.xml><?xml version="1.0" encoding="utf-8"?>
<c:userShapes xmlns:c="http://schemas.openxmlformats.org/drawingml/2006/chart">
  <cdr:relSizeAnchor xmlns:cdr="http://schemas.openxmlformats.org/drawingml/2006/chartDrawing">
    <cdr:from>
      <cdr:x>0.26393</cdr:x>
      <cdr:y>0.28304</cdr:y>
    </cdr:from>
    <cdr:to>
      <cdr:x>0.39345</cdr:x>
      <cdr:y>0.36826</cdr:y>
    </cdr:to>
    <cdr:sp macro="" textlink="">
      <cdr:nvSpPr>
        <cdr:cNvPr id="2" name="Zone de texte 1"/>
        <cdr:cNvSpPr txBox="1"/>
      </cdr:nvSpPr>
      <cdr:spPr>
        <a:xfrm xmlns:a="http://schemas.openxmlformats.org/drawingml/2006/main">
          <a:off x="854070" y="749295"/>
          <a:ext cx="419105" cy="22560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fr-CA" sz="1100"/>
            <a:t>XX</a:t>
          </a:r>
        </a:p>
      </cdr:txBody>
    </cdr:sp>
  </cdr:relSizeAnchor>
  <cdr:relSizeAnchor xmlns:cdr="http://schemas.openxmlformats.org/drawingml/2006/chartDrawing">
    <cdr:from>
      <cdr:x>0.52296</cdr:x>
      <cdr:y>0.27944</cdr:y>
    </cdr:from>
    <cdr:to>
      <cdr:x>0.65247</cdr:x>
      <cdr:y>0.36466</cdr:y>
    </cdr:to>
    <cdr:sp macro="" textlink="">
      <cdr:nvSpPr>
        <cdr:cNvPr id="3" name="Zone de texte 1"/>
        <cdr:cNvSpPr txBox="1"/>
      </cdr:nvSpPr>
      <cdr:spPr>
        <a:xfrm xmlns:a="http://schemas.openxmlformats.org/drawingml/2006/main">
          <a:off x="1692270" y="739770"/>
          <a:ext cx="419105" cy="22560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fr-CA" sz="1100"/>
            <a:t>XX</a:t>
          </a:r>
        </a:p>
      </cdr:txBody>
    </cdr:sp>
  </cdr:relSizeAnchor>
  <cdr:relSizeAnchor xmlns:cdr="http://schemas.openxmlformats.org/drawingml/2006/chartDrawing">
    <cdr:from>
      <cdr:x>0.78493</cdr:x>
      <cdr:y>0.27584</cdr:y>
    </cdr:from>
    <cdr:to>
      <cdr:x>0.91444</cdr:x>
      <cdr:y>0.36106</cdr:y>
    </cdr:to>
    <cdr:sp macro="" textlink="">
      <cdr:nvSpPr>
        <cdr:cNvPr id="4" name="Zone de texte 1"/>
        <cdr:cNvSpPr txBox="1"/>
      </cdr:nvSpPr>
      <cdr:spPr>
        <a:xfrm xmlns:a="http://schemas.openxmlformats.org/drawingml/2006/main">
          <a:off x="2539995" y="730245"/>
          <a:ext cx="419105" cy="22560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fr-CA" sz="1100"/>
            <a:t>XX</a:t>
          </a:r>
        </a:p>
      </cdr:txBody>
    </cdr:sp>
  </cdr:relSizeAnchor>
</c:userShapes>
</file>

<file path=word/theme/theme1.xml><?xml version="1.0" encoding="utf-8"?>
<a:theme xmlns:a="http://schemas.openxmlformats.org/drawingml/2006/main" name="Thème Office">
  <a:themeElements>
    <a:clrScheme name="fiche_energetic">
      <a:dk1>
        <a:sysClr val="windowText" lastClr="000000"/>
      </a:dk1>
      <a:lt1>
        <a:sysClr val="window" lastClr="FFFFFF"/>
      </a:lt1>
      <a:dk2>
        <a:srgbClr val="44546A"/>
      </a:dk2>
      <a:lt2>
        <a:srgbClr val="E7E6E6"/>
      </a:lt2>
      <a:accent1>
        <a:srgbClr val="C99E10"/>
      </a:accent1>
      <a:accent2>
        <a:srgbClr val="ED7D31"/>
      </a:accent2>
      <a:accent3>
        <a:srgbClr val="B7B8B6"/>
      </a:accent3>
      <a:accent4>
        <a:srgbClr val="34675C"/>
      </a:accent4>
      <a:accent5>
        <a:srgbClr val="B3C100"/>
      </a:accent5>
      <a:accent6>
        <a:srgbClr val="48B5F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159D4-3B14-42F0-97D4-8FE8AF0B8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833</Words>
  <Characters>4584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ETS</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Boissonneault, Judith</dc:creator>
  <cp:keywords/>
  <dc:description/>
  <cp:lastModifiedBy>Boissonneault, Judith</cp:lastModifiedBy>
  <cp:revision>5</cp:revision>
  <cp:lastPrinted>2020-07-17T03:36:00Z</cp:lastPrinted>
  <dcterms:created xsi:type="dcterms:W3CDTF">2023-06-13T19:58:00Z</dcterms:created>
  <dcterms:modified xsi:type="dcterms:W3CDTF">2023-06-27T18:22:00Z</dcterms:modified>
</cp:coreProperties>
</file>