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A20071" w:rsidRPr="00A20071" w14:paraId="43E73E11" w14:textId="77777777" w:rsidTr="00ED41FB">
        <w:trPr>
          <w:trHeight w:val="187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D16AC" w14:textId="6223FBF8" w:rsidR="00A20071" w:rsidRPr="00A20071" w:rsidRDefault="00A20071" w:rsidP="00A20071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 w:rsidR="00657640" w:rsidRPr="00657640">
              <w:rPr>
                <w:b/>
                <w:bCs/>
                <w:i/>
                <w:iCs/>
                <w:color w:val="FF0000"/>
                <w:lang w:val="es-ES"/>
              </w:rPr>
              <w:t>2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9170" w14:textId="370AAEB6" w:rsidR="00A20071" w:rsidRPr="00A20071" w:rsidRDefault="00657640" w:rsidP="00A20071">
            <w:pPr>
              <w:rPr>
                <w:lang w:val="es-ES"/>
              </w:rPr>
            </w:pPr>
            <w:r>
              <w:rPr>
                <w:lang w:val="es-ES"/>
              </w:rPr>
              <w:t>Tiempo medio de decisión del comité debe ser menor o igual a un día laboral.</w:t>
            </w:r>
          </w:p>
        </w:tc>
      </w:tr>
      <w:tr w:rsidR="00ED41FB" w:rsidRPr="00A20071" w14:paraId="3FA341FE" w14:textId="77777777" w:rsidTr="00ED41FB">
        <w:trPr>
          <w:trHeight w:val="141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FDDA" w14:textId="77777777" w:rsidR="00ED41FB" w:rsidRPr="00A20071" w:rsidRDefault="00ED41FB" w:rsidP="00ED41FB">
            <w:pPr>
              <w:rPr>
                <w:lang w:val="es-ES"/>
              </w:rPr>
            </w:pPr>
            <w:proofErr w:type="spellStart"/>
            <w:r w:rsidRPr="00ED41FB">
              <w:rPr>
                <w:b/>
                <w:bCs/>
                <w:color w:val="FF0000"/>
                <w:lang w:val="es-ES"/>
              </w:rPr>
              <w:t>Process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B4859" w14:textId="743B828C" w:rsidR="00ED41FB" w:rsidRPr="00A20071" w:rsidRDefault="00ED41FB" w:rsidP="00ED41FB">
            <w:pPr>
              <w:rPr>
                <w:lang w:val="en-US"/>
              </w:rPr>
            </w:pPr>
            <w:r>
              <w:rPr>
                <w:lang w:val="en-US"/>
              </w:rPr>
              <w:t>RFC management</w:t>
            </w:r>
          </w:p>
        </w:tc>
      </w:tr>
      <w:tr w:rsidR="00A20071" w:rsidRPr="00A20071" w14:paraId="1D479885" w14:textId="77777777" w:rsidTr="00ED41FB">
        <w:trPr>
          <w:trHeight w:val="95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787EF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Goals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6D3CA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A20071" w:rsidRPr="00A20071" w14:paraId="2C948707" w14:textId="77777777" w:rsidTr="00ED41FB">
        <w:trPr>
          <w:trHeight w:val="41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2D944" w14:textId="229117CD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Measure</w:t>
            </w:r>
            <w:proofErr w:type="spellEnd"/>
            <w:r w:rsidRPr="00657640">
              <w:rPr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Definition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5F354" w14:textId="58CA6653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 w:rsidR="00657640">
              <w:rPr>
                <w:lang w:val="en-US"/>
              </w:rPr>
              <w:t xml:space="preserve">calculated as the duration </w:t>
            </w:r>
            <w:r w:rsidR="001B5F26">
              <w:rPr>
                <w:lang w:val="en-US"/>
              </w:rPr>
              <w:t xml:space="preserve">between the time instants when activity </w:t>
            </w:r>
            <w:proofErr w:type="spellStart"/>
            <w:r w:rsidR="001B5F26">
              <w:rPr>
                <w:lang w:val="en-US"/>
              </w:rPr>
              <w:t>Analyse</w:t>
            </w:r>
            <w:proofErr w:type="spellEnd"/>
            <w:r w:rsidR="001B5F26">
              <w:rPr>
                <w:lang w:val="en-US"/>
              </w:rPr>
              <w:t xml:space="preserve"> in committee changes to state active and when activity </w:t>
            </w:r>
            <w:proofErr w:type="spellStart"/>
            <w:r w:rsidR="001B5F26">
              <w:rPr>
                <w:lang w:val="en-US"/>
              </w:rPr>
              <w:t>Analyse</w:t>
            </w:r>
            <w:proofErr w:type="spellEnd"/>
            <w:r w:rsidR="001B5F26">
              <w:rPr>
                <w:lang w:val="en-US"/>
              </w:rPr>
              <w:t xml:space="preserve"> in committee changes to state completed.</w:t>
            </w:r>
            <w:r w:rsidR="00657640">
              <w:rPr>
                <w:lang w:val="en-US"/>
              </w:rPr>
              <w:t xml:space="preserve"> </w:t>
            </w:r>
          </w:p>
        </w:tc>
      </w:tr>
      <w:tr w:rsidR="00A20071" w:rsidRPr="00A20071" w14:paraId="790ED597" w14:textId="77777777" w:rsidTr="00ED41FB">
        <w:trPr>
          <w:trHeight w:val="1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CE325" w14:textId="77777777" w:rsidR="00A20071" w:rsidRPr="00A20071" w:rsidRDefault="00A20071" w:rsidP="00A20071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2E6D8" w14:textId="74124F0B" w:rsidR="00A20071" w:rsidRPr="00657640" w:rsidRDefault="00A20071" w:rsidP="00A20071">
            <w:pPr>
              <w:rPr>
                <w:rFonts w:cs="Mangal"/>
                <w:szCs w:val="21"/>
                <w:cs/>
                <w:lang w:val="es-ES" w:bidi="mr-IN"/>
              </w:rPr>
            </w:pPr>
            <w:proofErr w:type="spellStart"/>
            <w:r w:rsidRPr="00A20071">
              <w:rPr>
                <w:lang w:val="es-ES"/>
              </w:rPr>
              <w:t>The</w:t>
            </w:r>
            <w:proofErr w:type="spellEnd"/>
            <w:r w:rsidRPr="00A20071">
              <w:rPr>
                <w:lang w:val="es-ES"/>
              </w:rPr>
              <w:t xml:space="preserve"> PPI </w:t>
            </w:r>
            <w:proofErr w:type="spellStart"/>
            <w:r w:rsidRPr="00A20071">
              <w:rPr>
                <w:lang w:val="es-ES"/>
              </w:rPr>
              <w:t>valu</w:t>
            </w:r>
            <w:r w:rsidR="00657640">
              <w:rPr>
                <w:lang w:val="es-ES"/>
              </w:rPr>
              <w:t>e</w:t>
            </w:r>
            <w:proofErr w:type="spellEnd"/>
            <w:r w:rsidR="00657640">
              <w:rPr>
                <w:lang w:val="es-ES"/>
              </w:rPr>
              <w:t xml:space="preserve"> </w:t>
            </w:r>
            <w:proofErr w:type="spellStart"/>
            <w:r w:rsidR="00657640">
              <w:rPr>
                <w:lang w:val="es-ES"/>
              </w:rPr>
              <w:t>must</w:t>
            </w:r>
            <w:proofErr w:type="spellEnd"/>
            <w:r w:rsidR="00657640">
              <w:rPr>
                <w:lang w:val="es-ES"/>
              </w:rPr>
              <w:t xml:space="preserve"> be </w:t>
            </w:r>
            <w:proofErr w:type="spellStart"/>
            <w:r w:rsidR="00657640">
              <w:rPr>
                <w:lang w:val="es-ES"/>
              </w:rPr>
              <w:t>lower</w:t>
            </w:r>
            <w:proofErr w:type="spellEnd"/>
            <w:r w:rsidR="00657640">
              <w:rPr>
                <w:lang w:val="es-ES"/>
              </w:rPr>
              <w:t xml:space="preserve"> </w:t>
            </w:r>
            <w:proofErr w:type="spellStart"/>
            <w:r w:rsidR="00657640">
              <w:rPr>
                <w:lang w:val="es-ES"/>
              </w:rPr>
              <w:t>t</w:t>
            </w:r>
            <w:r w:rsidR="006C75CC">
              <w:rPr>
                <w:lang w:val="es-ES"/>
              </w:rPr>
              <w:t>han</w:t>
            </w:r>
            <w:proofErr w:type="spellEnd"/>
            <w:r w:rsidR="006C75CC">
              <w:rPr>
                <w:lang w:val="es-ES"/>
              </w:rPr>
              <w:t xml:space="preserve"> </w:t>
            </w:r>
            <w:proofErr w:type="spellStart"/>
            <w:r w:rsidR="006C75CC">
              <w:rPr>
                <w:lang w:val="es-ES"/>
              </w:rPr>
              <w:t>one</w:t>
            </w:r>
            <w:proofErr w:type="spellEnd"/>
            <w:r w:rsidR="006C75CC">
              <w:rPr>
                <w:lang w:val="es-ES"/>
              </w:rPr>
              <w:t xml:space="preserve"> </w:t>
            </w:r>
            <w:proofErr w:type="spellStart"/>
            <w:r w:rsidR="006C75CC">
              <w:rPr>
                <w:lang w:val="es-ES"/>
              </w:rPr>
              <w:t>working</w:t>
            </w:r>
            <w:proofErr w:type="spellEnd"/>
            <w:r w:rsidR="006C75CC">
              <w:rPr>
                <w:lang w:val="es-ES"/>
              </w:rPr>
              <w:t xml:space="preserve"> </w:t>
            </w:r>
            <w:proofErr w:type="spellStart"/>
            <w:r w:rsidR="006C75CC">
              <w:rPr>
                <w:lang w:val="es-ES"/>
              </w:rPr>
              <w:t>day</w:t>
            </w:r>
            <w:proofErr w:type="spellEnd"/>
            <w:r w:rsidR="006C75CC">
              <w:rPr>
                <w:lang w:val="es-ES"/>
              </w:rPr>
              <w:t>.</w:t>
            </w:r>
            <w:r w:rsidR="00657640">
              <w:rPr>
                <w:lang w:val="es-ES"/>
              </w:rPr>
              <w:t xml:space="preserve"> </w:t>
            </w:r>
          </w:p>
        </w:tc>
      </w:tr>
      <w:tr w:rsidR="00A20071" w:rsidRPr="00A20071" w14:paraId="5A738176" w14:textId="77777777" w:rsidTr="00ED41FB">
        <w:trPr>
          <w:trHeight w:val="65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4FBFD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Scope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3F5BF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06577C41" w14:textId="77777777" w:rsidR="00A20071" w:rsidRPr="00A20071" w:rsidRDefault="00A20071" w:rsidP="00A20071">
            <w:pPr>
              <w:numPr>
                <w:ilvl w:val="1"/>
                <w:numId w:val="2"/>
              </w:numPr>
              <w:rPr>
                <w:lang w:val="es-ES"/>
              </w:rPr>
            </w:pPr>
            <w:proofErr w:type="spellStart"/>
            <w:r w:rsidRPr="00A20071">
              <w:rPr>
                <w:lang w:val="es-ES"/>
              </w:rPr>
              <w:t>All</w:t>
            </w:r>
            <w:proofErr w:type="spellEnd"/>
          </w:p>
          <w:p w14:paraId="65467140" w14:textId="77777777" w:rsidR="00A20071" w:rsidRPr="00A20071" w:rsidRDefault="00A20071" w:rsidP="00A2007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A20071" w:rsidRPr="00A20071" w14:paraId="6A4FC32C" w14:textId="77777777" w:rsidTr="00ED41FB">
        <w:trPr>
          <w:trHeight w:val="17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A6436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Source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32504" w14:textId="15973BC0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 xml:space="preserve">source from </w:t>
            </w:r>
            <w:r w:rsidR="00107742" w:rsidRPr="00A20071">
              <w:rPr>
                <w:i/>
                <w:iCs/>
                <w:lang w:val="en-US"/>
              </w:rPr>
              <w:t>which</w:t>
            </w:r>
            <w:r w:rsidRPr="00A20071">
              <w:rPr>
                <w:i/>
                <w:iCs/>
                <w:lang w:val="en-US"/>
              </w:rPr>
              <w:t xml:space="preserve">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A20071" w:rsidRPr="00A20071" w14:paraId="5025CF71" w14:textId="77777777" w:rsidTr="00ED41FB">
        <w:trPr>
          <w:trHeight w:val="143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F5C15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Responsible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C5717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A20071" w:rsidRPr="00A20071" w14:paraId="54407F4D" w14:textId="77777777" w:rsidTr="00ED41FB">
        <w:trPr>
          <w:trHeight w:val="106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03D5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Informed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3DDCB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A20071" w:rsidRPr="00A20071" w14:paraId="57A74B2A" w14:textId="77777777" w:rsidTr="00ED41FB">
        <w:trPr>
          <w:trHeight w:val="84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07C8C" w14:textId="77777777" w:rsidR="00A20071" w:rsidRPr="00A20071" w:rsidRDefault="00A20071" w:rsidP="00A20071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Comments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6DCF4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27D511F2" w14:textId="35DFF3DA" w:rsidR="00F24E45" w:rsidRDefault="00632402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15F7614A" w14:textId="77777777" w:rsidTr="006E32E2">
        <w:trPr>
          <w:trHeight w:val="187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C5BB1" w14:textId="708F2326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 w:rsidR="001B5F26">
              <w:rPr>
                <w:b/>
                <w:bCs/>
                <w:i/>
                <w:iCs/>
                <w:color w:val="FF0000"/>
                <w:lang w:val="es-ES"/>
              </w:rPr>
              <w:t>3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66180" w14:textId="7A1D793C" w:rsidR="006C75CC" w:rsidRPr="00A20071" w:rsidRDefault="006C75CC" w:rsidP="006E32E2">
            <w:pPr>
              <w:rPr>
                <w:lang w:val="es-ES"/>
              </w:rPr>
            </w:pPr>
            <w:r>
              <w:t xml:space="preserve">El </w:t>
            </w:r>
            <w:proofErr w:type="spellStart"/>
            <w:r>
              <w:t>porcentaje</w:t>
            </w:r>
            <w:proofErr w:type="spellEnd"/>
            <w:r>
              <w:t xml:space="preserve"> de RFCs </w:t>
            </w:r>
            <w:proofErr w:type="spellStart"/>
            <w:r>
              <w:t>correctivas</w:t>
            </w:r>
            <w:proofErr w:type="spellEnd"/>
            <w:r>
              <w:t xml:space="preserve"> de las </w:t>
            </w:r>
            <w:proofErr w:type="spellStart"/>
            <w:r>
              <w:t>aprobadas</w:t>
            </w:r>
            <w:proofErr w:type="spellEnd"/>
            <w:r>
              <w:t xml:space="preserve"> debe ser </w:t>
            </w: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  <w:r>
              <w:t xml:space="preserve"> que 2.</w:t>
            </w:r>
          </w:p>
        </w:tc>
      </w:tr>
      <w:tr w:rsidR="006C75CC" w:rsidRPr="00A20071" w14:paraId="7B1369EE" w14:textId="77777777" w:rsidTr="006E32E2">
        <w:trPr>
          <w:trHeight w:val="141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C1C0A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EA57EA">
              <w:rPr>
                <w:b/>
                <w:bCs/>
                <w:color w:val="FF0000"/>
                <w:lang w:val="es-ES"/>
              </w:rPr>
              <w:t>Process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C8266" w14:textId="497F35D3" w:rsidR="006C75CC" w:rsidRPr="00A20071" w:rsidRDefault="00EA57EA" w:rsidP="006E32E2">
            <w:pPr>
              <w:rPr>
                <w:lang w:val="en-US"/>
              </w:rPr>
            </w:pPr>
            <w:r>
              <w:rPr>
                <w:lang w:val="en-US"/>
              </w:rPr>
              <w:t>RFC management</w:t>
            </w:r>
          </w:p>
        </w:tc>
      </w:tr>
      <w:tr w:rsidR="006C75CC" w:rsidRPr="00A20071" w14:paraId="68BE775A" w14:textId="77777777" w:rsidTr="006E32E2">
        <w:trPr>
          <w:trHeight w:val="95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3B85D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Goals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486A5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2FD1996B" w14:textId="77777777" w:rsidTr="006E32E2">
        <w:trPr>
          <w:trHeight w:val="41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5AB02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Measure</w:t>
            </w:r>
            <w:proofErr w:type="spellEnd"/>
            <w:r w:rsidRPr="00657640">
              <w:rPr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Definition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2A53F" w14:textId="77777777" w:rsidR="00ED41FB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  <w:r w:rsidR="001B5F26">
              <w:rPr>
                <w:lang w:val="en-US"/>
              </w:rPr>
              <w:t xml:space="preserve">by the function a/b*100 where a is the number of </w:t>
            </w:r>
            <w:r w:rsidR="00EA7BA9">
              <w:rPr>
                <w:lang w:val="en-US"/>
              </w:rPr>
              <w:t xml:space="preserve">times data object RFC satisfies </w:t>
            </w:r>
            <w:proofErr w:type="spellStart"/>
            <w:r w:rsidR="00EA57EA">
              <w:rPr>
                <w:lang w:val="en-US"/>
              </w:rPr>
              <w:t>typeOfChange</w:t>
            </w:r>
            <w:proofErr w:type="spellEnd"/>
            <w:r w:rsidR="00EA7BA9">
              <w:rPr>
                <w:lang w:val="en-US"/>
              </w:rPr>
              <w:t xml:space="preserve"> = corrective and b is the number of times </w:t>
            </w:r>
            <w:r w:rsidR="00EA57EA">
              <w:rPr>
                <w:lang w:val="en-US"/>
              </w:rPr>
              <w:t xml:space="preserve">activity Approve RFC </w:t>
            </w:r>
            <w:r w:rsidR="00EA7BA9">
              <w:rPr>
                <w:lang w:val="en-US"/>
              </w:rPr>
              <w:t xml:space="preserve">changes state to received. </w:t>
            </w:r>
          </w:p>
          <w:p w14:paraId="72A43D44" w14:textId="77777777" w:rsidR="00ED41FB" w:rsidRDefault="00ED41FB" w:rsidP="006E32E2">
            <w:pPr>
              <w:rPr>
                <w:lang w:val="en-US"/>
              </w:rPr>
            </w:pPr>
          </w:p>
          <w:p w14:paraId="04AE5A79" w14:textId="17808DE0" w:rsidR="006C75CC" w:rsidRPr="00A20071" w:rsidRDefault="00ED41FB" w:rsidP="006E32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175EB">
              <w:rPr>
                <w:lang w:val="en-US"/>
              </w:rPr>
              <w:t xml:space="preserve">El total </w:t>
            </w:r>
            <w:proofErr w:type="spellStart"/>
            <w:r w:rsidR="00F175EB">
              <w:rPr>
                <w:lang w:val="en-US"/>
              </w:rPr>
              <w:t>t</w:t>
            </w:r>
            <w:r>
              <w:rPr>
                <w:lang w:val="en-US"/>
              </w:rPr>
              <w:t>ambién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puede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activación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incluso</w:t>
            </w:r>
            <w:proofErr w:type="spellEnd"/>
            <w:r>
              <w:rPr>
                <w:lang w:val="en-US"/>
              </w:rPr>
              <w:t xml:space="preserve"> del nº de </w:t>
            </w:r>
            <w:proofErr w:type="spellStart"/>
            <w:r>
              <w:rPr>
                <w:lang w:val="en-US"/>
              </w:rPr>
              <w:t>veces</w:t>
            </w:r>
            <w:proofErr w:type="spellEnd"/>
            <w:r>
              <w:rPr>
                <w:lang w:val="en-US"/>
              </w:rPr>
              <w:t xml:space="preserve"> que cambia de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RFC approved).</w:t>
            </w:r>
          </w:p>
        </w:tc>
      </w:tr>
      <w:tr w:rsidR="006C75CC" w:rsidRPr="00657640" w14:paraId="631BC96E" w14:textId="77777777" w:rsidTr="006E32E2">
        <w:trPr>
          <w:trHeight w:val="1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75FF6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91BC9" w14:textId="21A35D2D" w:rsidR="006C75CC" w:rsidRPr="00657640" w:rsidRDefault="006C75CC" w:rsidP="006E32E2">
            <w:pPr>
              <w:rPr>
                <w:rFonts w:cs="Mangal"/>
                <w:szCs w:val="21"/>
                <w:cs/>
                <w:lang w:val="es-ES" w:bidi="mr-IN"/>
              </w:rPr>
            </w:pPr>
            <w:proofErr w:type="spellStart"/>
            <w:r w:rsidRPr="00A20071">
              <w:rPr>
                <w:lang w:val="es-ES"/>
              </w:rPr>
              <w:t>The</w:t>
            </w:r>
            <w:proofErr w:type="spellEnd"/>
            <w:r w:rsidRPr="00A20071">
              <w:rPr>
                <w:lang w:val="es-ES"/>
              </w:rPr>
              <w:t xml:space="preserve"> PPI </w:t>
            </w:r>
            <w:proofErr w:type="spellStart"/>
            <w:r>
              <w:rPr>
                <w:lang w:val="es-ES"/>
              </w:rPr>
              <w:t>value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must</w:t>
            </w:r>
            <w:proofErr w:type="spellEnd"/>
            <w:r>
              <w:rPr>
                <w:lang w:val="es-ES"/>
              </w:rPr>
              <w:t xml:space="preserve"> be </w:t>
            </w:r>
            <w:proofErr w:type="spellStart"/>
            <w:r>
              <w:rPr>
                <w:lang w:val="es-ES"/>
              </w:rPr>
              <w:t>lower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equal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two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6C75CC" w:rsidRPr="00A20071" w14:paraId="28C508B7" w14:textId="77777777" w:rsidTr="006E32E2">
        <w:trPr>
          <w:trHeight w:val="65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B71E1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Scope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C9451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49729728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proofErr w:type="spellStart"/>
            <w:r w:rsidRPr="00A20071">
              <w:rPr>
                <w:lang w:val="es-ES"/>
              </w:rPr>
              <w:t>All</w:t>
            </w:r>
            <w:proofErr w:type="spellEnd"/>
          </w:p>
          <w:p w14:paraId="4C1DA80E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523FEF8A" w14:textId="77777777" w:rsidTr="006E32E2">
        <w:trPr>
          <w:trHeight w:val="17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0FFA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Source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DA5D6" w14:textId="03B48EFA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 xml:space="preserve">source from </w:t>
            </w:r>
            <w:r w:rsidR="00107742" w:rsidRPr="00A20071">
              <w:rPr>
                <w:i/>
                <w:iCs/>
                <w:lang w:val="en-US"/>
              </w:rPr>
              <w:t>which</w:t>
            </w:r>
            <w:r w:rsidRPr="00A20071">
              <w:rPr>
                <w:i/>
                <w:iCs/>
                <w:lang w:val="en-US"/>
              </w:rPr>
              <w:t xml:space="preserve">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62FB35F5" w14:textId="77777777" w:rsidTr="006E32E2">
        <w:trPr>
          <w:trHeight w:val="143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55114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Responsible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46534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16CC2A48" w14:textId="77777777" w:rsidTr="006E32E2">
        <w:trPr>
          <w:trHeight w:val="106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1EF70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Informed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B8A0F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FCF1605" w14:textId="77777777" w:rsidTr="006E32E2">
        <w:trPr>
          <w:trHeight w:val="84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D4EA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Comments</w:t>
            </w:r>
            <w:proofErr w:type="spellEnd"/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AD6CB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6B9AD28D" w14:textId="76E68E93" w:rsidR="006C75CC" w:rsidRDefault="006C75CC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00C61680" w14:textId="77777777" w:rsidTr="00ED41FB">
        <w:trPr>
          <w:trHeight w:val="187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24FD4" w14:textId="51C36E4A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lastRenderedPageBreak/>
              <w:t>PPI-</w:t>
            </w:r>
            <w:r>
              <w:rPr>
                <w:b/>
                <w:bCs/>
                <w:i/>
                <w:iCs/>
                <w:color w:val="FF0000"/>
                <w:lang w:val="es-ES"/>
              </w:rPr>
              <w:t>4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D60C4" w14:textId="6AEF4BE6" w:rsidR="006C75CC" w:rsidRPr="00A20071" w:rsidRDefault="006C75CC" w:rsidP="006E32E2">
            <w:pPr>
              <w:rPr>
                <w:lang w:val="es-ES"/>
              </w:rPr>
            </w:pPr>
            <w:r>
              <w:t xml:space="preserve">El </w:t>
            </w:r>
            <w:proofErr w:type="spellStart"/>
            <w:r>
              <w:t>porcentaje</w:t>
            </w:r>
            <w:proofErr w:type="spellEnd"/>
            <w:r>
              <w:t xml:space="preserve"> de RFCs </w:t>
            </w:r>
            <w:proofErr w:type="spellStart"/>
            <w:r>
              <w:t>perfectivas</w:t>
            </w:r>
            <w:proofErr w:type="spellEnd"/>
            <w:r>
              <w:t xml:space="preserve"> y </w:t>
            </w:r>
            <w:proofErr w:type="spellStart"/>
            <w:r>
              <w:t>adaptativas</w:t>
            </w:r>
            <w:proofErr w:type="spellEnd"/>
            <w:r>
              <w:t xml:space="preserve"> de las </w:t>
            </w:r>
            <w:proofErr w:type="spellStart"/>
            <w:r>
              <w:t>aprobadas</w:t>
            </w:r>
            <w:proofErr w:type="spellEnd"/>
            <w:r>
              <w:t xml:space="preserve"> debe ser </w:t>
            </w: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  <w:r>
              <w:t xml:space="preserve"> que 4.</w:t>
            </w:r>
          </w:p>
        </w:tc>
      </w:tr>
      <w:tr w:rsidR="00ED41FB" w:rsidRPr="00A20071" w14:paraId="558AB562" w14:textId="77777777" w:rsidTr="00ED41FB">
        <w:trPr>
          <w:trHeight w:val="141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9D111" w14:textId="77777777" w:rsidR="00ED41FB" w:rsidRPr="00A20071" w:rsidRDefault="00ED41FB" w:rsidP="00ED41FB">
            <w:pPr>
              <w:rPr>
                <w:lang w:val="es-ES"/>
              </w:rPr>
            </w:pPr>
            <w:proofErr w:type="spellStart"/>
            <w:r w:rsidRPr="00ED41FB">
              <w:rPr>
                <w:b/>
                <w:bCs/>
                <w:color w:val="FF0000"/>
                <w:lang w:val="es-ES"/>
              </w:rPr>
              <w:t>Process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6453A" w14:textId="642A2965" w:rsidR="00ED41FB" w:rsidRPr="00A20071" w:rsidRDefault="00ED41FB" w:rsidP="00ED41FB">
            <w:pPr>
              <w:rPr>
                <w:lang w:val="en-US"/>
              </w:rPr>
            </w:pPr>
            <w:r>
              <w:rPr>
                <w:lang w:val="en-US"/>
              </w:rPr>
              <w:t>RFC management</w:t>
            </w:r>
          </w:p>
        </w:tc>
      </w:tr>
      <w:tr w:rsidR="006C75CC" w:rsidRPr="00A20071" w14:paraId="085C3DFC" w14:textId="77777777" w:rsidTr="00ED41FB">
        <w:trPr>
          <w:trHeight w:val="95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D5F6C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Goals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27E83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110C096D" w14:textId="77777777" w:rsidTr="00ED41FB">
        <w:trPr>
          <w:trHeight w:val="41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2B095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Measure</w:t>
            </w:r>
            <w:proofErr w:type="spellEnd"/>
            <w:r w:rsidRPr="00657640">
              <w:rPr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Definition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37FB5" w14:textId="77777777" w:rsidR="00F175EB" w:rsidRDefault="006C75CC" w:rsidP="00F175EB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  <w:r w:rsidR="00F175EB">
              <w:rPr>
                <w:lang w:val="en-US"/>
              </w:rPr>
              <w:t>by the function ((</w:t>
            </w:r>
            <w:proofErr w:type="spellStart"/>
            <w:r w:rsidR="00F175EB">
              <w:rPr>
                <w:lang w:val="en-US"/>
              </w:rPr>
              <w:t>a+b</w:t>
            </w:r>
            <w:proofErr w:type="spellEnd"/>
            <w:r w:rsidR="00F175EB">
              <w:rPr>
                <w:lang w:val="en-US"/>
              </w:rPr>
              <w:t>)/c)</w:t>
            </w:r>
            <w:r w:rsidR="00F175EB">
              <w:rPr>
                <w:lang w:val="en-US"/>
              </w:rPr>
              <w:t>*100 where a is the</w:t>
            </w:r>
            <w:r w:rsidR="00F175EB">
              <w:rPr>
                <w:lang w:val="en-US"/>
              </w:rPr>
              <w:t xml:space="preserve"> number of times </w:t>
            </w:r>
            <w:r w:rsidR="00F175EB">
              <w:rPr>
                <w:lang w:val="en-US"/>
              </w:rPr>
              <w:t xml:space="preserve">data object RFC satisfies </w:t>
            </w:r>
            <w:proofErr w:type="spellStart"/>
            <w:r w:rsidR="00F175EB">
              <w:rPr>
                <w:lang w:val="en-US"/>
              </w:rPr>
              <w:t>typeOfChange</w:t>
            </w:r>
            <w:proofErr w:type="spellEnd"/>
            <w:r w:rsidR="00F175EB">
              <w:rPr>
                <w:lang w:val="en-US"/>
              </w:rPr>
              <w:t xml:space="preserve"> = </w:t>
            </w:r>
            <w:r w:rsidR="00F175EB">
              <w:rPr>
                <w:lang w:val="en-US"/>
              </w:rPr>
              <w:t xml:space="preserve">perfective, b is the number of times data object RFC satisfies </w:t>
            </w:r>
            <w:proofErr w:type="spellStart"/>
            <w:r w:rsidR="00F175EB">
              <w:rPr>
                <w:lang w:val="en-US"/>
              </w:rPr>
              <w:t>typeOfChange</w:t>
            </w:r>
            <w:proofErr w:type="spellEnd"/>
            <w:r w:rsidR="00F175EB">
              <w:rPr>
                <w:lang w:val="en-US"/>
              </w:rPr>
              <w:t xml:space="preserve"> = adaptative and c is the </w:t>
            </w:r>
            <w:r w:rsidR="00F175EB">
              <w:rPr>
                <w:lang w:val="en-US"/>
              </w:rPr>
              <w:t xml:space="preserve">is the number of times activity Approve RFC changes state to received. </w:t>
            </w:r>
          </w:p>
          <w:p w14:paraId="00317F56" w14:textId="77777777" w:rsidR="006C75CC" w:rsidRDefault="006C75CC" w:rsidP="006E32E2">
            <w:pPr>
              <w:rPr>
                <w:lang w:val="en-US"/>
              </w:rPr>
            </w:pPr>
          </w:p>
          <w:p w14:paraId="28FD1B46" w14:textId="6C23D770" w:rsidR="00F175EB" w:rsidRPr="00A20071" w:rsidRDefault="00F175EB" w:rsidP="006E32E2">
            <w:pPr>
              <w:rPr>
                <w:lang w:val="en-US"/>
              </w:rPr>
            </w:pPr>
            <w:r>
              <w:rPr>
                <w:lang w:val="en-US"/>
              </w:rPr>
              <w:t xml:space="preserve">(El total </w:t>
            </w:r>
            <w:proofErr w:type="spellStart"/>
            <w:r>
              <w:rPr>
                <w:lang w:val="en-US"/>
              </w:rPr>
              <w:t>también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puede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activación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incluso</w:t>
            </w:r>
            <w:proofErr w:type="spellEnd"/>
            <w:r>
              <w:rPr>
                <w:lang w:val="en-US"/>
              </w:rPr>
              <w:t xml:space="preserve"> del nº de </w:t>
            </w:r>
            <w:proofErr w:type="spellStart"/>
            <w:r>
              <w:rPr>
                <w:lang w:val="en-US"/>
              </w:rPr>
              <w:t>veces</w:t>
            </w:r>
            <w:proofErr w:type="spellEnd"/>
            <w:r>
              <w:rPr>
                <w:lang w:val="en-US"/>
              </w:rPr>
              <w:t xml:space="preserve"> que cambia de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RFC approved).</w:t>
            </w:r>
          </w:p>
        </w:tc>
      </w:tr>
      <w:tr w:rsidR="006C75CC" w:rsidRPr="00657640" w14:paraId="7A6A44E1" w14:textId="77777777" w:rsidTr="00ED41FB">
        <w:trPr>
          <w:trHeight w:val="1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24888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54A25" w14:textId="781448C2" w:rsidR="006C75CC" w:rsidRPr="00657640" w:rsidRDefault="006C75CC" w:rsidP="006E32E2">
            <w:pPr>
              <w:rPr>
                <w:rFonts w:cs="Mangal"/>
                <w:szCs w:val="21"/>
                <w:cs/>
                <w:lang w:val="es-ES" w:bidi="mr-IN"/>
              </w:rPr>
            </w:pPr>
            <w:proofErr w:type="spellStart"/>
            <w:r w:rsidRPr="00A20071">
              <w:rPr>
                <w:lang w:val="es-ES"/>
              </w:rPr>
              <w:t>The</w:t>
            </w:r>
            <w:proofErr w:type="spellEnd"/>
            <w:r w:rsidRPr="00A20071">
              <w:rPr>
                <w:lang w:val="es-ES"/>
              </w:rPr>
              <w:t xml:space="preserve"> PPI </w:t>
            </w:r>
            <w:proofErr w:type="spellStart"/>
            <w:r w:rsidR="00ED41FB">
              <w:rPr>
                <w:lang w:val="es-ES"/>
              </w:rPr>
              <w:t>value</w:t>
            </w:r>
            <w:proofErr w:type="spellEnd"/>
            <w:r w:rsidR="00ED41FB">
              <w:rPr>
                <w:lang w:val="es-ES"/>
              </w:rPr>
              <w:t xml:space="preserve"> </w:t>
            </w:r>
            <w:proofErr w:type="spellStart"/>
            <w:r w:rsidR="00ED41FB">
              <w:rPr>
                <w:lang w:val="es-ES"/>
              </w:rPr>
              <w:t>must</w:t>
            </w:r>
            <w:proofErr w:type="spellEnd"/>
            <w:r w:rsidR="00ED41FB">
              <w:rPr>
                <w:lang w:val="es-ES"/>
              </w:rPr>
              <w:t xml:space="preserve"> be </w:t>
            </w:r>
            <w:proofErr w:type="spellStart"/>
            <w:r w:rsidR="00ED41FB">
              <w:rPr>
                <w:lang w:val="es-ES"/>
              </w:rPr>
              <w:t>lower</w:t>
            </w:r>
            <w:proofErr w:type="spellEnd"/>
            <w:r w:rsidR="00ED41FB">
              <w:rPr>
                <w:lang w:val="es-ES"/>
              </w:rPr>
              <w:t xml:space="preserve"> </w:t>
            </w:r>
            <w:proofErr w:type="spellStart"/>
            <w:r w:rsidR="00ED41FB">
              <w:rPr>
                <w:lang w:val="es-ES"/>
              </w:rPr>
              <w:t>or</w:t>
            </w:r>
            <w:proofErr w:type="spellEnd"/>
            <w:r w:rsidR="00ED41FB">
              <w:rPr>
                <w:lang w:val="es-ES"/>
              </w:rPr>
              <w:t xml:space="preserve"> </w:t>
            </w:r>
            <w:proofErr w:type="spellStart"/>
            <w:r w:rsidR="00ED41FB">
              <w:rPr>
                <w:lang w:val="es-ES"/>
              </w:rPr>
              <w:t>equal</w:t>
            </w:r>
            <w:proofErr w:type="spellEnd"/>
            <w:r w:rsidR="00ED41FB">
              <w:rPr>
                <w:lang w:val="es-ES"/>
              </w:rPr>
              <w:t xml:space="preserve"> </w:t>
            </w:r>
            <w:proofErr w:type="spellStart"/>
            <w:r w:rsidR="00ED41FB">
              <w:rPr>
                <w:lang w:val="es-ES"/>
              </w:rPr>
              <w:t>than</w:t>
            </w:r>
            <w:proofErr w:type="spellEnd"/>
            <w:r w:rsidR="00ED41FB">
              <w:rPr>
                <w:lang w:val="es-ES"/>
              </w:rPr>
              <w:t xml:space="preserve"> </w:t>
            </w:r>
            <w:proofErr w:type="spellStart"/>
            <w:r w:rsidR="00ED41FB">
              <w:rPr>
                <w:lang w:val="es-ES"/>
              </w:rPr>
              <w:t>four</w:t>
            </w:r>
            <w:proofErr w:type="spellEnd"/>
            <w:r w:rsidR="00ED41FB">
              <w:rPr>
                <w:lang w:val="es-ES"/>
              </w:rPr>
              <w:t xml:space="preserve">. </w:t>
            </w:r>
          </w:p>
        </w:tc>
      </w:tr>
      <w:tr w:rsidR="006C75CC" w:rsidRPr="00A20071" w14:paraId="72D91622" w14:textId="77777777" w:rsidTr="00ED41FB">
        <w:trPr>
          <w:trHeight w:val="65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16AF7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Scope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1700E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78C49942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proofErr w:type="spellStart"/>
            <w:r w:rsidRPr="00A20071">
              <w:rPr>
                <w:lang w:val="es-ES"/>
              </w:rPr>
              <w:t>All</w:t>
            </w:r>
            <w:proofErr w:type="spellEnd"/>
          </w:p>
          <w:p w14:paraId="29386074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04E76FB1" w14:textId="77777777" w:rsidTr="00ED41FB">
        <w:trPr>
          <w:trHeight w:val="17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307F2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Source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49079" w14:textId="2BE320BA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 xml:space="preserve">source from </w:t>
            </w:r>
            <w:r w:rsidR="00107742" w:rsidRPr="00A20071">
              <w:rPr>
                <w:i/>
                <w:iCs/>
                <w:lang w:val="en-US"/>
              </w:rPr>
              <w:t>which</w:t>
            </w:r>
            <w:r w:rsidRPr="00A20071">
              <w:rPr>
                <w:i/>
                <w:iCs/>
                <w:lang w:val="en-US"/>
              </w:rPr>
              <w:t xml:space="preserve">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3363FB7E" w14:textId="77777777" w:rsidTr="00ED41FB">
        <w:trPr>
          <w:trHeight w:val="143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484FC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Responsible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E8D6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619B3EF7" w14:textId="77777777" w:rsidTr="00ED41FB">
        <w:trPr>
          <w:trHeight w:val="106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3DE67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Informed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CFC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7D0DA9A" w14:textId="77777777" w:rsidTr="00ED41FB">
        <w:trPr>
          <w:trHeight w:val="84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B679E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Comments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2E2BA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05F881E3" w14:textId="27D2ECB2" w:rsidR="006C75CC" w:rsidRDefault="006C75CC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6B3E26C6" w14:textId="77777777" w:rsidTr="00ED41FB">
        <w:trPr>
          <w:trHeight w:val="187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FD0B3" w14:textId="0EF6A3CD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>
              <w:rPr>
                <w:b/>
                <w:bCs/>
                <w:i/>
                <w:iCs/>
                <w:color w:val="FF0000"/>
                <w:lang w:val="es-ES"/>
              </w:rPr>
              <w:t>8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64CD3" w14:textId="5ACCAC5D" w:rsidR="006C75CC" w:rsidRPr="00A20071" w:rsidRDefault="006C75CC" w:rsidP="006E32E2">
            <w:pPr>
              <w:rPr>
                <w:lang w:val="es-ES"/>
              </w:rPr>
            </w:pPr>
            <w:r>
              <w:t xml:space="preserve">El </w:t>
            </w:r>
            <w:proofErr w:type="spellStart"/>
            <w:r>
              <w:t>número</w:t>
            </w:r>
            <w:proofErr w:type="spellEnd"/>
            <w:r>
              <w:t xml:space="preserve"> de RFCs debe ser </w:t>
            </w: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  <w:r>
              <w:t xml:space="preserve"> que 50 para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RR.HH, </w:t>
            </w: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  <w:r>
              <w:t xml:space="preserve"> que 60 para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Diraya</w:t>
            </w:r>
            <w:proofErr w:type="spellEnd"/>
            <w:r>
              <w:t xml:space="preserve">, y </w:t>
            </w: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  <w:r>
              <w:t xml:space="preserve"> que 5 para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Farma</w:t>
            </w:r>
            <w:proofErr w:type="spellEnd"/>
            <w:r>
              <w:t>.</w:t>
            </w:r>
          </w:p>
        </w:tc>
      </w:tr>
      <w:tr w:rsidR="00ED41FB" w:rsidRPr="00A20071" w14:paraId="4D45CD4C" w14:textId="77777777" w:rsidTr="00ED41FB">
        <w:trPr>
          <w:trHeight w:val="141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257F7" w14:textId="77777777" w:rsidR="00ED41FB" w:rsidRPr="00A20071" w:rsidRDefault="00ED41FB" w:rsidP="00ED41FB">
            <w:pPr>
              <w:rPr>
                <w:lang w:val="es-ES"/>
              </w:rPr>
            </w:pPr>
            <w:proofErr w:type="spellStart"/>
            <w:r w:rsidRPr="00ED41FB">
              <w:rPr>
                <w:b/>
                <w:bCs/>
                <w:color w:val="FF0000"/>
                <w:lang w:val="es-ES"/>
              </w:rPr>
              <w:t>Process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57712" w14:textId="079A44D3" w:rsidR="00ED41FB" w:rsidRPr="00A20071" w:rsidRDefault="00ED41FB" w:rsidP="00ED41FB">
            <w:pPr>
              <w:rPr>
                <w:lang w:val="en-US"/>
              </w:rPr>
            </w:pPr>
            <w:r>
              <w:rPr>
                <w:lang w:val="en-US"/>
              </w:rPr>
              <w:t>RFC management</w:t>
            </w:r>
          </w:p>
        </w:tc>
      </w:tr>
      <w:tr w:rsidR="006C75CC" w:rsidRPr="00A20071" w14:paraId="41CDA883" w14:textId="77777777" w:rsidTr="00ED41FB">
        <w:trPr>
          <w:trHeight w:val="95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1BBB2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Goals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A6266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466E9CEC" w14:textId="77777777" w:rsidTr="00ED41FB">
        <w:trPr>
          <w:trHeight w:val="41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6920B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Measure</w:t>
            </w:r>
            <w:proofErr w:type="spellEnd"/>
            <w:r w:rsidRPr="00657640">
              <w:rPr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657640">
              <w:rPr>
                <w:b/>
                <w:bCs/>
                <w:color w:val="FF0000"/>
                <w:lang w:val="es-ES"/>
              </w:rPr>
              <w:t>Definition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6B6B" w14:textId="7DE5BB46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  <w:r w:rsidR="009320ED">
              <w:rPr>
                <w:lang w:val="en-US"/>
              </w:rPr>
              <w:t>as the sum of the number of times event Received RFC is triggered, grouped by p</w:t>
            </w:r>
            <w:r w:rsidR="00107742">
              <w:rPr>
                <w:lang w:val="en-US"/>
              </w:rPr>
              <w:t>roperty project of data object RFC.</w:t>
            </w:r>
          </w:p>
        </w:tc>
      </w:tr>
      <w:tr w:rsidR="006C75CC" w:rsidRPr="00657640" w14:paraId="1B516099" w14:textId="77777777" w:rsidTr="00ED41FB">
        <w:trPr>
          <w:trHeight w:val="1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6D44A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AEA74" w14:textId="23D6720F" w:rsidR="0070430F" w:rsidRPr="00657640" w:rsidRDefault="0070430F" w:rsidP="006E32E2">
            <w:pPr>
              <w:rPr>
                <w:rFonts w:cs="Mangal"/>
                <w:szCs w:val="21"/>
                <w:cs/>
                <w:lang w:val="es-ES" w:bidi="mr-IN"/>
              </w:rPr>
            </w:pPr>
            <w:proofErr w:type="spellStart"/>
            <w:r>
              <w:rPr>
                <w:rFonts w:cs="Mangal"/>
                <w:szCs w:val="21"/>
                <w:lang w:val="es-ES" w:bidi="mr-IN"/>
              </w:rPr>
              <w:t>The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PPI </w:t>
            </w:r>
            <w:proofErr w:type="spellStart"/>
            <w:r>
              <w:rPr>
                <w:rFonts w:cs="Mangal"/>
                <w:szCs w:val="21"/>
                <w:lang w:val="es-ES" w:bidi="mr-IN"/>
              </w:rPr>
              <w:t>value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>
              <w:rPr>
                <w:rFonts w:cs="Mangal"/>
                <w:szCs w:val="21"/>
                <w:lang w:val="es-ES" w:bidi="mr-IN"/>
              </w:rPr>
              <w:t>for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data </w:t>
            </w:r>
            <w:proofErr w:type="spellStart"/>
            <w:r>
              <w:rPr>
                <w:rFonts w:cs="Mangal"/>
                <w:szCs w:val="21"/>
                <w:lang w:val="es-ES" w:bidi="mr-IN"/>
              </w:rPr>
              <w:t>object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RFC </w:t>
            </w:r>
            <w:proofErr w:type="spellStart"/>
            <w:r>
              <w:rPr>
                <w:rFonts w:cs="Mangal"/>
                <w:szCs w:val="21"/>
                <w:lang w:val="es-ES" w:bidi="mr-IN"/>
              </w:rPr>
              <w:t>when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RR.HH </w:t>
            </w:r>
            <w:proofErr w:type="spellStart"/>
            <w:r>
              <w:rPr>
                <w:rFonts w:cs="Mangal"/>
                <w:szCs w:val="21"/>
                <w:lang w:val="es-ES" w:bidi="mr-IN"/>
              </w:rPr>
              <w:t>must</w:t>
            </w:r>
            <w:proofErr w:type="spellEnd"/>
            <w:r>
              <w:rPr>
                <w:rFonts w:cs="Mangal"/>
                <w:szCs w:val="21"/>
                <w:lang w:val="es-ES" w:bidi="mr-IN"/>
              </w:rPr>
              <w:t xml:space="preserve"> </w:t>
            </w:r>
            <w:r w:rsidR="00632402">
              <w:rPr>
                <w:rFonts w:cs="Mangal"/>
                <w:szCs w:val="21"/>
                <w:lang w:val="es-ES" w:bidi="mr-IN"/>
              </w:rPr>
              <w:t xml:space="preserve">be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lower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or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equal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than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50,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when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Diraya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must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be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lower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or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equal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than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60,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when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Farma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must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be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lower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or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equal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</w:t>
            </w:r>
            <w:proofErr w:type="spellStart"/>
            <w:r w:rsidR="00632402">
              <w:rPr>
                <w:rFonts w:cs="Mangal"/>
                <w:szCs w:val="21"/>
                <w:lang w:val="es-ES" w:bidi="mr-IN"/>
              </w:rPr>
              <w:t>than</w:t>
            </w:r>
            <w:proofErr w:type="spellEnd"/>
            <w:r w:rsidR="00632402">
              <w:rPr>
                <w:rFonts w:cs="Mangal"/>
                <w:szCs w:val="21"/>
                <w:lang w:val="es-ES" w:bidi="mr-IN"/>
              </w:rPr>
              <w:t xml:space="preserve"> 5.</w:t>
            </w:r>
          </w:p>
        </w:tc>
      </w:tr>
      <w:tr w:rsidR="006C75CC" w:rsidRPr="00A20071" w14:paraId="5BE12064" w14:textId="77777777" w:rsidTr="00ED41FB">
        <w:trPr>
          <w:trHeight w:val="659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39C2F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Scope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B7F4E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130FB113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proofErr w:type="spellStart"/>
            <w:r w:rsidRPr="00A20071">
              <w:rPr>
                <w:lang w:val="es-ES"/>
              </w:rPr>
              <w:t>All</w:t>
            </w:r>
            <w:proofErr w:type="spellEnd"/>
          </w:p>
          <w:p w14:paraId="5C08E25E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6308C22B" w14:textId="77777777" w:rsidTr="00ED41FB">
        <w:trPr>
          <w:trHeight w:val="178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479E9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Source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5DAD3" w14:textId="33C763CE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 xml:space="preserve">source from </w:t>
            </w:r>
            <w:r w:rsidR="00107742" w:rsidRPr="00A20071">
              <w:rPr>
                <w:i/>
                <w:iCs/>
                <w:lang w:val="en-US"/>
              </w:rPr>
              <w:t>which</w:t>
            </w:r>
            <w:r w:rsidRPr="00A20071">
              <w:rPr>
                <w:i/>
                <w:iCs/>
                <w:lang w:val="en-US"/>
              </w:rPr>
              <w:t xml:space="preserve">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0A980024" w14:textId="77777777" w:rsidTr="00ED41FB">
        <w:trPr>
          <w:trHeight w:val="143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DCC94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Responsible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E2541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4B453F5C" w14:textId="77777777" w:rsidTr="00ED41FB">
        <w:trPr>
          <w:trHeight w:val="106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A0A2C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Informed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4EA17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department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organisation</w:t>
            </w:r>
            <w:proofErr w:type="spellEnd"/>
            <w:r w:rsidRPr="00A20071">
              <w:rPr>
                <w:lang w:val="es-ES"/>
              </w:rPr>
              <w:t>&gt;|&lt;</w:t>
            </w:r>
            <w:proofErr w:type="spellStart"/>
            <w:r w:rsidRPr="00A20071">
              <w:rPr>
                <w:i/>
                <w:iCs/>
                <w:lang w:val="es-ES"/>
              </w:rPr>
              <w:t>person</w:t>
            </w:r>
            <w:proofErr w:type="spellEnd"/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1CECA6E" w14:textId="77777777" w:rsidTr="00ED41FB">
        <w:trPr>
          <w:trHeight w:val="84"/>
        </w:trPr>
        <w:tc>
          <w:tcPr>
            <w:tcW w:w="14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C7F71" w14:textId="77777777" w:rsidR="006C75CC" w:rsidRPr="00A20071" w:rsidRDefault="006C75CC" w:rsidP="006E32E2">
            <w:pPr>
              <w:rPr>
                <w:lang w:val="es-ES"/>
              </w:rPr>
            </w:pPr>
            <w:proofErr w:type="spellStart"/>
            <w:r w:rsidRPr="00A20071">
              <w:rPr>
                <w:b/>
                <w:bCs/>
                <w:lang w:val="es-ES"/>
              </w:rPr>
              <w:t>Comments</w:t>
            </w:r>
            <w:proofErr w:type="spellEnd"/>
          </w:p>
        </w:tc>
        <w:tc>
          <w:tcPr>
            <w:tcW w:w="6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1F5C8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61CF3923" w14:textId="2C0D59A1" w:rsidR="006C75CC" w:rsidRDefault="006C75CC"/>
    <w:p w14:paraId="173452C7" w14:textId="4D58553D" w:rsidR="002A2E73" w:rsidRDefault="002A2E73"/>
    <w:p w14:paraId="50CAE0CC" w14:textId="59CBE3E0" w:rsidR="002A2E73" w:rsidRDefault="002A2E73">
      <w:r>
        <w:t xml:space="preserve">PD: Los </w:t>
      </w:r>
      <w:proofErr w:type="spellStart"/>
      <w:r>
        <w:t>nombres</w:t>
      </w:r>
      <w:proofErr w:type="spellEnd"/>
      <w:r>
        <w:t xml:space="preserve"> de los PPIs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cortos</w:t>
      </w:r>
      <w:proofErr w:type="spellEnd"/>
      <w:r>
        <w:t xml:space="preserve">, no debe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explicaciones</w:t>
      </w:r>
      <w:proofErr w:type="spellEnd"/>
      <w:r>
        <w:t xml:space="preserve"> del PPI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cortas</w:t>
      </w:r>
      <w:proofErr w:type="spellEnd"/>
      <w:r>
        <w:t xml:space="preserve"> </w:t>
      </w:r>
      <w:proofErr w:type="spellStart"/>
      <w:r>
        <w:t>explicativas</w:t>
      </w:r>
      <w:proofErr w:type="spellEnd"/>
      <w:r>
        <w:t>.</w:t>
      </w:r>
    </w:p>
    <w:sectPr w:rsidR="002A2E73" w:rsidSect="00FF11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EC"/>
    <w:multiLevelType w:val="hybridMultilevel"/>
    <w:tmpl w:val="4F6E85C0"/>
    <w:lvl w:ilvl="0" w:tplc="8F44B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40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69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A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4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44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4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2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BD617B"/>
    <w:multiLevelType w:val="hybridMultilevel"/>
    <w:tmpl w:val="E4DED20A"/>
    <w:lvl w:ilvl="0" w:tplc="4898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2C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8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7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29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2D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C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63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71"/>
    <w:rsid w:val="000131D2"/>
    <w:rsid w:val="000319A0"/>
    <w:rsid w:val="0004410A"/>
    <w:rsid w:val="00055CEE"/>
    <w:rsid w:val="00097301"/>
    <w:rsid w:val="00107742"/>
    <w:rsid w:val="00155C8E"/>
    <w:rsid w:val="00157A11"/>
    <w:rsid w:val="001B5F26"/>
    <w:rsid w:val="002349C8"/>
    <w:rsid w:val="002A2E73"/>
    <w:rsid w:val="002B33E4"/>
    <w:rsid w:val="003001FE"/>
    <w:rsid w:val="00372837"/>
    <w:rsid w:val="00376CEB"/>
    <w:rsid w:val="003A597D"/>
    <w:rsid w:val="003D77D4"/>
    <w:rsid w:val="00481321"/>
    <w:rsid w:val="00492E5C"/>
    <w:rsid w:val="004C49D4"/>
    <w:rsid w:val="00592218"/>
    <w:rsid w:val="00632402"/>
    <w:rsid w:val="00657640"/>
    <w:rsid w:val="006A2994"/>
    <w:rsid w:val="006C75CC"/>
    <w:rsid w:val="0070430F"/>
    <w:rsid w:val="00713D22"/>
    <w:rsid w:val="0083023F"/>
    <w:rsid w:val="008C448E"/>
    <w:rsid w:val="009320ED"/>
    <w:rsid w:val="00966C6D"/>
    <w:rsid w:val="00A20071"/>
    <w:rsid w:val="00B6291A"/>
    <w:rsid w:val="00C2535C"/>
    <w:rsid w:val="00C63E2B"/>
    <w:rsid w:val="00CC0564"/>
    <w:rsid w:val="00D162BB"/>
    <w:rsid w:val="00E04060"/>
    <w:rsid w:val="00E55668"/>
    <w:rsid w:val="00EA57EA"/>
    <w:rsid w:val="00EA7BA9"/>
    <w:rsid w:val="00ED41FB"/>
    <w:rsid w:val="00EF0C5F"/>
    <w:rsid w:val="00F175EB"/>
    <w:rsid w:val="00F66091"/>
    <w:rsid w:val="00FB37CE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B7A6"/>
  <w14:defaultImageDpi w14:val="32767"/>
  <w15:chartTrackingRefBased/>
  <w15:docId w15:val="{2865E879-E4ED-814D-9858-3C26E435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7719F8975E6B40892C239B1A026DCC" ma:contentTypeVersion="9" ma:contentTypeDescription="Crear nuevo documento." ma:contentTypeScope="" ma:versionID="f69e3ef7990c44d53c9fa762ab5bf660">
  <xsd:schema xmlns:xsd="http://www.w3.org/2001/XMLSchema" xmlns:xs="http://www.w3.org/2001/XMLSchema" xmlns:p="http://schemas.microsoft.com/office/2006/metadata/properties" xmlns:ns2="62bb11d2-8d31-4cd0-891a-0f277b27f151" targetNamespace="http://schemas.microsoft.com/office/2006/metadata/properties" ma:root="true" ma:fieldsID="546acade0579b888378ece0c33411327" ns2:_="">
    <xsd:import namespace="62bb11d2-8d31-4cd0-891a-0f277b27f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b11d2-8d31-4cd0-891a-0f277b27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1F6A0-7459-4AB7-B273-3642264D10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87EEF-FE3E-4C05-9231-7959CA0D0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b11d2-8d31-4cd0-891a-0f277b27f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20D58-C5C6-4802-B830-59408354DF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alefertri1@alum.us.es</cp:lastModifiedBy>
  <cp:revision>10</cp:revision>
  <dcterms:created xsi:type="dcterms:W3CDTF">2020-11-24T08:09:00Z</dcterms:created>
  <dcterms:modified xsi:type="dcterms:W3CDTF">2021-11-16T15:30:00Z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0x010100347719F8975E6B40892C239B1A026DCC</vt:lpwstr>
  </property>
</Properties>
</file>