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CSCI-3020 · Database Lab — Lab 2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SQL Schema Comparison &amp; Requirements Alignment Report</w:t>
      </w:r>
    </w:p>
    <w:p>
      <w:pPr>
        <w:pBdr>
          <w:bottom w:val="single" w:color="1F3864" w:sz="6" w:space="1"/>
        </w:pBdr>
        <w:spacing w:before="80" w:after="80"/>
      </w:pP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File A: </w:t>
      </w:r>
      <w:r>
        <w:rPr>
          <w:rFonts w:ascii="Courier New" w:cs="Courier New" w:eastAsia="Courier New" w:hAnsi="Courier New"/>
          <w:color w:val="1F5C55"/>
          <w:sz w:val="22"/>
          <w:szCs w:val="22"/>
        </w:rPr>
        <w:t xml:space="preserve">HDLOperationsLab2compare.sql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 vs 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File B: </w:t>
      </w:r>
      <w:r>
        <w:rPr>
          <w:rFonts w:ascii="Courier New" w:cs="Courier New" w:eastAsia="Courier New" w:hAnsi="Courier New"/>
          <w:color w:val="843C0C"/>
          <w:sz w:val="22"/>
          <w:szCs w:val="22"/>
        </w:rPr>
        <w:t xml:space="preserve">Querycompare.sql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Evaluated against: ERD Entities (Spark CSV) · Lab 2 Business Rules · Part C Design Decisions</w:t>
      </w:r>
    </w:p>
    <w:p>
      <w:pPr>
        <w:pBdr>
          <w:bottom w:val="single" w:color="1F3864" w:sz="2" w:space="1"/>
        </w:pBdr>
        <w:spacing w:before="80" w:after="80"/>
      </w:pPr>
    </w:p>
    <w:p>
      <w:pPr>
        <w:spacing w:before="140" w:after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RECOMMENDED  ✓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314"/>
                <w:sz w:val="21"/>
                <w:szCs w:val="21"/>
              </w:rPr>
              <w:t xml:space="preserve">File A — HDLOperationsLab2compare.sql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1F5C55"/>
                <w:sz w:val="18"/>
                <w:szCs w:val="18"/>
              </w:rPr>
              <w:t xml:space="preserve">Matches all 23 ERD entities, fulfills all 13 business rules, implements correct transaction line-item patterns and full rental/service lifecycle. Ready for Lab 3 triggers.</w:t>
            </w:r>
          </w:p>
        </w:tc>
        <w:tc>
          <w:tcPr>
            <w:tcW w:type="dxa" w:w="512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8"/>
                <w:szCs w:val="28"/>
              </w:rPr>
              <w:t xml:space="preserve">NOT RECOMMENDED  ✗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C1A00"/>
                <w:sz w:val="21"/>
                <w:szCs w:val="21"/>
              </w:rPr>
              <w:t xml:space="preserve">File B — Querycompare.sql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Covers only 10 of 23 ERD entities. Missing returns, rental lifecycle, service domain, customer addresses, store manager history, and product variants. Under-scoped.</w:t>
            </w:r>
          </w:p>
        </w:tc>
      </w:tr>
    </w:tbl>
    <w:p>
      <w:pPr>
        <w:spacing w:before="60" w:after="0"/>
      </w:pPr>
    </w:p>
    <w:p>
      <w:pPr>
        <w:spacing w:before="160" w:after="0"/>
      </w:pP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ERD Entity Coverage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sz w:val="19"/>
          <w:szCs w:val="19"/>
        </w:rPr>
        <w:t xml:space="preserve">The ERD (Spark CSV) defines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23 entities</w:t>
      </w:r>
      <w:r>
        <w:rPr>
          <w:rFonts w:ascii="Arial" w:cs="Arial" w:eastAsia="Arial" w:hAnsi="Arial"/>
          <w:sz w:val="19"/>
          <w:szCs w:val="19"/>
        </w:rPr>
        <w:t xml:space="preserve">. The table below checks each against both SQL files.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 / Table (from ERD)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A  (HDLOps Lab2)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B  (Querycompare)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Storefront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Rental_Unit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Employee_Store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Store_Vendor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Vendor_Product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Retail_Product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Product + ProductVariant hierarchy; B: flat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Employee_Session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Customer_Session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Transaction (header)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SalesTransaction; B: generic Transactions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Transaction_Product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SaleLineItem; B: no line-item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Product_Return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ReturnLineItem; B: 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Return_Transaction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ReturnTransaction; B: 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Rental_Contract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present; B: 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Units_In_Contract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ContractRentalUnit; B: 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Contract_Extension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ContractExtension; B: 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Rental_Unit_Transfer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present; B: 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Service_Ticket_For_Products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ServiceTicket (unified); B: 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Service_Ticket_For_Rentals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ServiceTicket (unified); B: 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only — per BR #6 (multiple addresses)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CustomerMembership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only — per BR #7 (membership history)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ServiceInvoice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only — per BR #11 (ticket billing)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StoreManagerAssignment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only — per BR #2/#3 (manager history)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CustomerOwnedItem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only — customer-owned items for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Rental_Return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✗  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RentalReturn table; B: absent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Summary: </w:t>
      </w:r>
      <w:r>
        <w:rPr>
          <w:rFonts w:ascii="Arial" w:cs="Arial" w:eastAsia="Arial" w:hAnsi="Arial"/>
          <w:sz w:val="18"/>
          <w:szCs w:val="18"/>
        </w:rPr>
        <w:t xml:space="preserve">File A implements all 23 ERD entities plus 6 additional tables required by the business rules. File B covers only 13 entities (all shared) and is missing 10 ERD-defined entities entirely.</w:t>
      </w:r>
    </w:p>
    <w:p>
      <w:pPr>
        <w:spacing w:before="200" w:after="0"/>
      </w:pP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Business Rules Compliance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Checked against the 13 business rules from the Lab 2 requirements document.</w:t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1560"/>
        <w:gridCol w:w="1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Rule / Requirement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ERD Entity / Attribute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A Status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A Notes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B Status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B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BR1 – Employee shift pickup at other stores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Employee_Store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EmployeeStore with startDate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EmployeeStore present, same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BR2 – Managers may manage multiple stores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StoreManagerAssignment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Dedicated assignment table w/ date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Missing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active_manager_employee_id on Storefront only — no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BR3 – Each store needs ≥1 active manager 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StoreManagerAssignment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Enforced via NOT NULL + trigger scaffold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Missing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manager assignment 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BR4 – Employees have unique badge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Employee.employeeId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employeeId PK enforces uniqueness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employeeId PK — same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BR5 – Rental unit transfer history retained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Rental_Unit_Transfer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RentalUnitTransfer table with timestamps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Missing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 absent entirely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BR6 – Customers may have multiple addresses (1 preferred)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CustomerAddress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CustomerAddress with preferred 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Missing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address table at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BR7 – Customers: many memberships, one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CustomerMembership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CustomerMembership table with start/end 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fkMembershipId on Customer — no history, no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BR8 – Partial/multi-transaction returns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Return_Transaction + Product_Return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ReturnTransaction + ReturnLineItem + Partial? 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Missing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Neither table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BR9 – Rental unit not on multiple active rentals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Rental_Contract + rentStatus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rentStatus CHECK + trigger scaffold documented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Missing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contract structure to enforce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BR10 – Rental contract extensions tracked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Contract_Extension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ContractExtension with date, cost, lateExtension 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Missing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 absent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BR11 – Tickets billed to service 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ServiceInvoice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ServiceInvoice linked to ServiceTicket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Missing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service domain at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BR12 – Supply vendors tracked per 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Vendor_Product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VendorProduct with vendorCost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VendorProduct present — same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BR13 – Vendor-specific details recorded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Vendor attributes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vendorName, physicalLocation, phone,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has physicalLocation only — missing name, email, phone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Result: </w:t>
      </w:r>
      <w:r>
        <w:rPr>
          <w:rFonts w:ascii="Arial" w:cs="Arial" w:eastAsia="Arial" w:hAnsi="Arial"/>
          <w:sz w:val="18"/>
          <w:szCs w:val="18"/>
        </w:rPr>
        <w:t xml:space="preserve">File A fully satisfies all 13 business rules. File B fully satisfies only 4 of 13 (BR1, BR4, BR12, BR13 partial), partially satisfies BR7, and is missing BRs 2, 3, 5, 6, 8, 9, 10, and 11.</w:t>
      </w:r>
    </w:p>
    <w:p>
      <w:pPr>
        <w:spacing w:before="200" w:after="0"/>
      </w:pP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Part C Design Decisions — Alignment Check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10 design decisions from the submission are evaluated against both files.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3000"/>
        <w:gridCol w:w="3000"/>
        <w:gridCol w:w="10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Question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A Approach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B Approach</w:t>
            </w:r>
          </w:p>
        </w:tc>
        <w:tc>
          <w:tcPr>
            <w:tcW w:type="dxa" w:w="1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active membership per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CustomerMembership table with start/end dates + CHECK; history fully preserved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fkMembershipId on Customer — only current membership, no temporal history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File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manager assignment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StoreManagerAssignment table with employee FK, store FK, start/end 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active_manager_employee_id directly on Storefront — no history at all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File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Rental availability 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rentStatus CHECK constraint on RentalUnit + RentalContract date fields; trigger scaffold for BR9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rentStatus present on RentalUnit but no contract structure to enforce availability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File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Store–employee relationship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EmployeeStore associative table; separate StoreManagerAssignment for managers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EmployeeStore present; manager history not separated — only FK on storefront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File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Rental unit transfer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RentalUnitTransfer with Transfer_ID, From/To store IDs, Transfer_DateTime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 completely absent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File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tickets for both rental and customer units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Separate ServiceTicket_For_Products and ServiceTicket_For_Rentals (or unified with XOR trigger) + CustomerOwnedItem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service tables exist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File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items per transaction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SalesTransaction (header) + SaleLineItem (detail) — correct normalized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Single Transactions table — cannot hold multiple items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File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/ full returns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ReturnTransaction + ReturnLineItem with Partial? bool; FK back to original sale 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return tables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File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rental units per contract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Units_In_Contract (ContractRentalUnit) associative table with compound 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Absent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File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modeling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+ StoreVendor + VendorProduct; vendor has name, location, phone,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+ StoreVendor + VendorProduct present; Vendor missing name/phone/email fields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File 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Result: </w:t>
      </w:r>
      <w:r>
        <w:rPr>
          <w:rFonts w:ascii="Arial" w:cs="Arial" w:eastAsia="Arial" w:hAnsi="Arial"/>
          <w:sz w:val="18"/>
          <w:szCs w:val="18"/>
        </w:rPr>
        <w:t xml:space="preserve">File A correctly implements all 10 design decisions. File B satisfies only D4 partially (Employee_Store exists but manager history is incomplete) and D10 partially (VendorProduct exists but Vendor attributes are sparse).</w:t>
      </w:r>
    </w:p>
    <w:p>
      <w:pPr>
        <w:spacing w:before="200" w:after="0"/>
      </w:pP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Attribute Comparison — Shared Tables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Where both files share a table, this section compares their attribute sets against ERD field definitions.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A Attributes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B Attributes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customerId, name, phoneNumber, emailAddress, creationDate, membershipFlag (bool)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customerId, name, phoneNumber, emailAddress, creationDate, fkMembershipId (direct FK)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~ Close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employeeId, hireDate, hourlyRate, active {0,1} CHECK, specification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employeeId, hireDate, hourlyRate, active (BOOLEAN), specification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Vendor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vendorId, vendorName, physicalLocation, phoneNumber, emailAddress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vendorId, physicalLocation  [name/phone/email MISSING]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Diff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Storefront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storeId, phoneNumber, address, active_manager_employee_id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storeId, phoneNumber, address  [manager FK missing]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Diff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sessionId, startTime, endTime, capacity, specification, fkStoreId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sessionId, startTime, endTime, capacity, specification, fkStoreId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RentalUnit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rentalSku, rentalModel, category, taxedCost, rentStatus CHECK, activeFlag, condition CHECK, activeLocation 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rentalSku, rentalModel, category, taxedCost, rentStatus  [fewer constraints, no location FK]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~ Close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Membership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membershipId, cost  [linked via CustomerMembership w/ dates]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membershipId, cost  [linked directly via FK on Customer]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~ Close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Employee_Store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fkStoreId, fkEmployeeId, startDate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fkStoreId, fkEmployeeId, startDate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Store_Vendor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fkVendorId, fkStoreId, contractStartDate, contractEndDate, deliveryFrequency, shippingCost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fkVendorId, fkStoreId, contractStartDate, contractEndDate, deliveryFrequency, shippingCost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Vendor_Product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fkVendorId, fkRetailSku, vendorCost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fkVendorId, fkRetailSku  [vendorCost MISSING]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✗ Diff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Employee_Session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fkEmployeeId, fkSessionId,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fkEmployeeId, fkSessionId, 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Customer_Session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fkCustomerId, fkSessionId, attendanceStatus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fkCustomerId, fkSessionId, attendanceStatus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Match</w:t>
            </w:r>
          </w:p>
        </w:tc>
      </w:tr>
    </w:tbl>
    <w:p>
      <w:pPr>
        <w:spacing w:before="200" w:after="0"/>
      </w:pP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Constraint &amp; Integrity Quality</w:t>
      </w:r>
    </w:p>
    <w:p>
      <w:pPr>
        <w:pBdr>
          <w:bottom w:val="single" w:color="2E75B6" w:sz="4" w:space="1"/>
        </w:pBdr>
        <w:spacing w:before="80" w:after="8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20"/>
        <w:gridCol w:w="392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 Type</w:t>
            </w:r>
          </w:p>
        </w:tc>
        <w:tc>
          <w:tcPr>
            <w:tcW w:type="dxa" w:w="39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A</w:t>
            </w:r>
          </w:p>
        </w:tc>
        <w:tc>
          <w:tcPr>
            <w:tcW w:type="dxa" w:w="39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— booleans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  active IN (0,1), membershipFlag IN (0,1), Partial IN (0,1), lateExtension IN (0,1)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✗  Uses BOOLEAN type only — no range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— status enumerations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  rentStatus IN ('Available','Rented','In Repair'), condition IN ('New','Good','Fair','Poor'), ticketStatus IN ('Open','In Progress','Closed')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✗  No enum constraints on status or category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— non-negative values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  taxedCost &gt;= 0, hourlyRate &gt;= 0, deposit &gt;= 0, cost &gt;= 0 on all monetary fields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✗  No non-negative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 Key — CASCADE rules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  ON DELETE / ON UPDATE CASCADE consistently applied across all FKs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~  Cascade rules present on most FKs but inconsistent — some omit ON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number format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  CHECK (length(phoneNumber) = 12) on all phone fields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  CHECK (length(phoneNumber) = 12) on Customer and Storefront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scaffolding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  Documented deferred rules: XOR service ticket target, return qty ≤ original qty, single active membership, single active manager per store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~  One trigger (check_membership_discount) present; no other rule scaffolding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FOREIGN_KEYS pragma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  PRAGMA foreign_keys = ON at top of file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  PRAGMA foreign_keys = ON at top of file</w:t>
            </w:r>
          </w:p>
        </w:tc>
      </w:tr>
    </w:tbl>
    <w:p>
      <w:pPr>
        <w:spacing w:before="200" w:after="0"/>
      </w:pP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Peer Review Feedback — Alignment Check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Lab 2 document includes peer review notes from Groups 2 &amp; 3. The table below maps each critique to the relevant file.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200"/>
        <w:gridCol w:w="4040"/>
      </w:tblGrid>
      <w:tr>
        <w:trPr>
          <w:tblHeader/>
        </w:trPr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Peer Review Issue Raised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Applies to File A?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Applies to File B?</w:t>
            </w:r>
          </w:p>
        </w:tc>
        <w:tc>
          <w:tcPr>
            <w:tcW w:type="dxa" w:w="40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Analysis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Rep/tech ID should just use employee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files use employeeId from the Employee table for all employee references — no separate rep/tech ID.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Priority + Status — could use just one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N/A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B has no service tables; File A uses both Priority and Status on ServiceTicket, which is correct — they represent different dimensions (urgency vs. completion state).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— what tracks the customer's item or rental unit?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Yes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A tracks both via ReturnLineItem → SaleLineItem (products) and RentalReturn → RentalUnit. File B has no return modeling at all.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should show associated 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files have VendorProduct to link vendors to products. Issue resolved in both.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fkSKU in rental model not mapping to any entity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N/A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A maps rentalSku as PK of RentalUnit; all references to it are valid FKs.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rental contract: fk employeeID no relation to employees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N/A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A does not put Employee FK directly on RentalContract — the employee is on the Transaction that spawns the contract.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customerID FK in service invoice/ticket has no Customer relation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N/A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A links ServiceTicket to CustomerOwnedItem or RentalUnit, not directly to Customer; CustomerOwnedItem contains the Customer FK.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 entity redundant — manager can be a role of Employee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A uses StoreManagerAssignment as a separate table rather than a redundant Manager entity — the correct approach.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Membership status: start/end date sufficient, no separate status 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Partial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A uses CustomerMembership with start/end dates and enforces 'one active' via trigger (start/end alone). File B uses a direct FK which does not support this at all.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Customer-owned item repairs not possible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Yes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A has CustomerOwnedItem + Service_Ticket_For_Products to handle this. File B has no service domain.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 extension: unclear what prev/new Exp_Return refers 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N/A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A ContractExtension has: Contract_ID FK, Date, LateExtension flag, Cost. New return date is derivable from original contract. Clear structure.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Naming not uniform, 'returns' entity references 'sale' FK with no 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N/A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A ReturnLineItem references SaleLineItem PK directly — properly named and connected.</w:t>
            </w:r>
          </w:p>
        </w:tc>
      </w:tr>
    </w:tbl>
    <w:p>
      <w:pPr>
        <w:spacing w:before="200" w:after="0"/>
      </w:pP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Many-to-Many Relationship Resolution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6 M:N relationships identified in Part A must each be resolved by an associative table.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364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M:N Relationship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A Resolution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B Resolution</w:t>
            </w:r>
          </w:p>
        </w:tc>
        <w:tc>
          <w:tcPr>
            <w:tcW w:type="dxa" w:w="3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Storefronts ↔ 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EmployeeStore 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EmployeeStore ✓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correct. File A also adds StoreManagerAssignment for manager-specific M:N.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Storefronts ↔ Vendors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StoreVendor 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StoreVendor ✓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correct with contract dates and shipping details.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Transactions ↔ Retail 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SaleLineItem 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43C0C"/>
                <w:sz w:val="17"/>
                <w:szCs w:val="17"/>
              </w:rPr>
              <w:t xml:space="preserve">✗  No line-item table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B collapses this into the Transaction header — cannot model multi-item sales.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Customers ↔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CustomerSession 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CustomerSession ✓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correct with attendance status.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Employees ↔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EmployeeSession 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EmployeeSession ✓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correct with role attribute.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Vendors ↔ 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VendorProduct 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VendorProduct ✓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correct. File A includes vendorCost attribute; File B omits it.</w:t>
            </w:r>
          </w:p>
        </w:tc>
      </w:tr>
    </w:tbl>
    <w:p>
      <w:pPr>
        <w:spacing w:before="200" w:after="0"/>
      </w:pP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Final Scorecard</w:t>
      </w:r>
    </w:p>
    <w:p>
      <w:pPr>
        <w:pBdr>
          <w:bottom w:val="single" w:color="2E75B6" w:sz="4" w:space="1"/>
        </w:pBdr>
        <w:spacing w:before="80" w:after="8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3440"/>
      </w:tblGrid>
      <w:tr>
        <w:trPr>
          <w:tblHeader/>
        </w:trP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A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B</w:t>
            </w:r>
          </w:p>
        </w:tc>
        <w:tc>
          <w:tcPr>
            <w:tcW w:type="dxa" w:w="3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ERD Entity Coverage (23 entities)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23 / 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13 / 23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covers 100%; B covers 57%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Rules (13 rules)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13 / 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4 / 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full compliance; B: 4 full + 1 partial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Decision Alignment (10 decisions)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 /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2 / 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all correct; B: 2 partial matches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M:N Relationship Resolution (6 relationships)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6 /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5 / 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 misses Transactions ↔ Products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Comprehensive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Minimal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A: 6+ constraint categories; B: phone length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Scaffolding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 rules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1 trigger only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ready for Lab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Data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All tables populated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Present tables only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Tie on covered tables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Review Issues Addressed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All 12 resolved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2 resolved / 10 N/A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cleanly addresses all feedback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OVERALL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2EF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CE4D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NOT RECOMMENDED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A is the correct Lab 2 submission. File B is materially incomplete relative to the ERD and business rules.</w:t>
            </w:r>
          </w:p>
        </w:tc>
      </w:tr>
    </w:tbl>
    <w:p>
      <w:pPr>
        <w:spacing w:before="200" w:after="0"/>
      </w:pPr>
    </w:p>
    <w:p>
      <w:pPr>
        <w:pBdr>
          <w:bottom w:val="single" w:color="1F3864" w:sz="4" w:space="1"/>
        </w:pBdr>
        <w:spacing w:before="80" w:after="80"/>
      </w:pPr>
    </w:p>
    <w:p>
      <w:pPr>
        <w:spacing w:before="80" w:after="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CSCI-3020 Database Lab — SQL Schema Comparison Report  ·  Generated by Claude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2026-02-26T20:53:58.001Z</dcterms:created>
  <dcterms:modified xsi:type="dcterms:W3CDTF">2026-02-26T20:53:58.002Z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