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A5F"/>
          <w:sz w:val="64"/>
          <w:szCs w:val="64"/>
        </w:rPr>
        <w:t xml:space="preserve">Builders Stream</w:t>
      </w:r>
    </w:p>
    <w:p>
      <w:pPr>
        <w:spacing w:before="240"/>
        <w:jc w:val="center"/>
      </w:pPr>
      <w:r>
        <w:rPr>
          <w:i/>
          <w:iCs/>
          <w:color w:val="4A5568"/>
          <w:sz w:val="30"/>
          <w:szCs w:val="30"/>
        </w:rPr>
        <w:t xml:space="preserve">Software Development Documentation</w:t>
      </w:r>
    </w:p>
    <w:p>
      <w:pPr>
        <w:pBdr>
          <w:top w:val="single" w:color="2E75B6" w:sz="8" w:space="8"/>
        </w:pBdr>
        <w:spacing w:before="600"/>
        <w:jc w:val="center"/>
      </w:pPr>
    </w:p>
    <w:p>
      <w:pPr>
        <w:spacing w:before="300"/>
        <w:jc w:val="center"/>
      </w:pPr>
      <w:r>
        <w:rPr>
          <w:color w:val="4A5568"/>
          <w:sz w:val="22"/>
          <w:szCs w:val="22"/>
        </w:rPr>
        <w:t xml:space="preserve">A multi-tenant SaaS platform for construction &amp; renovation project management</w:t>
      </w:r>
    </w:p>
    <w:p>
      <w:pPr>
        <w:spacing w:before="1000"/>
        <w:jc w:val="center"/>
      </w:pPr>
      <w:r>
        <w:rPr>
          <w:color w:val="718096"/>
          <w:sz w:val="22"/>
          <w:szCs w:val="22"/>
        </w:rPr>
        <w:t xml:space="preserve">Version 1.0  ·  2026-07-07</w:t>
      </w:r>
    </w:p>
    <w:p>
      <w:r>
        <w:br w:type="page"/>
      </w:r>
    </w:p>
    <w:p>
      <w:pPr>
        <w:spacing w:after="300"/>
      </w:pPr>
      <w:r>
        <w:rPr>
          <w:b/>
          <w:bCs/>
          <w:color w:val="1F3A5F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bookmarkStart w:name="doc_01_prd" w:id="1"/>
      <w:r>
        <w:t xml:space="preserve">Builders Stream — Product Requirements Document (PRD)</w:t>
      </w:r>
      <w:bookmarkEnd w:id="1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Status:</w:t>
      </w:r>
      <w:r>
        <w:t xml:space="preserve"> Draft for review</w:t>
      </w:r>
    </w:p>
    <w:p>
      <w:pPr>
        <w:pStyle w:val="Heading2"/>
      </w:pPr>
      <w:r>
        <w:t xml:space="preserve">1. Executive Summary</w:t>
      </w:r>
    </w:p>
    <w:p>
      <w:pPr>
        <w:spacing w:after="140"/>
      </w:pPr>
      <w:r>
        <w:t xml:space="preserve">Builders Stream is a multi-tenant SaaS platform for small/medium building construction and renovation companies. It unifies CRM, project management, cost estimation, accounting/billing, and company administration into a single system, targeting 1,000+ paying company subscribers on a self-hosted infrastructure.</w:t>
      </w:r>
    </w:p>
    <w:p>
      <w:pPr>
        <w:pStyle w:val="Heading2"/>
      </w:pPr>
      <w:r>
        <w:t xml:space="preserve">2. Problem Statement</w:t>
      </w:r>
    </w:p>
    <w:p>
      <w:pPr>
        <w:spacing w:after="140"/>
      </w:pPr>
      <w:r>
        <w:t xml:space="preserve">Small and medium construction/renovation contractors currently run their business across a fragmented set of disconnected tools: spreadsheets for estimating, a separate CRM (or none), email/text for client communication, and a bolt-on accounting package for invoicing. This fragmentation ("the fragmentation tax") causes: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Lost or duplicated data entry between tools (a lead's details get re-typed into an estimate, then again into an invoice).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single source of truth for a project's financial state (estimated vs. actual cost).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Manual, error-prone handoffs between sales (CRM), execution (project management), and billing.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tracking compliance obligations (subcontractor insurance, licenses, signed change orders) until a problem occurs.</w:t>
      </w:r>
    </w:p>
    <w:p>
      <w:pPr>
        <w:pStyle w:val="Heading2"/>
      </w:pPr>
      <w:r>
        <w:t xml:space="preserve">3. Target Users /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2865"/>
        <w:gridCol w:w="5031"/>
      </w:tblGrid>
      <w:tr>
        <w:trPr>
          <w:tblHeader/>
        </w:trPr>
        <w:tc>
          <w:tcPr>
            <w:tcW w:type="dxa" w:w="14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 Owner / Admin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Runs the company, owns the tenant</w:t>
            </w:r>
          </w:p>
        </w:tc>
        <w:tc>
          <w:tcPr>
            <w:tcW w:type="dxa" w:w="50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Visibility across all projects, financials, and branches; user/role management.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Manages day-to-day project execution</w:t>
            </w:r>
          </w:p>
        </w:tc>
        <w:tc>
          <w:tcPr>
            <w:tcW w:type="dxa" w:w="50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Task scheduling, document access, crew coordination, change order tracking.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Field Crew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On-site labor/subcontractors</w:t>
            </w:r>
          </w:p>
        </w:tc>
        <w:tc>
          <w:tcPr>
            <w:tcW w:type="dxa" w:w="50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Task lists, daily log submission, photo uploads.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Accountant / Bookkeeper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Manages financial records</w:t>
            </w:r>
          </w:p>
        </w:tc>
        <w:tc>
          <w:tcPr>
            <w:tcW w:type="dxa" w:w="50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Invoicing, expense tracking, QuickBooks/FreshBooks sync, financial reporting.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Client (external)</w:t>
            </w:r>
          </w:p>
        </w:tc>
        <w:tc>
          <w:tcPr>
            <w:tcW w:type="dxa" w:w="28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homeowner/business paying for the project</w:t>
            </w:r>
          </w:p>
        </w:tc>
        <w:tc>
          <w:tcPr>
            <w:tcW w:type="dxa" w:w="503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Read-only progress visibility, estimate/change-order approval (e-signature).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7527"/>
      </w:tblGrid>
      <w:tr>
        <w:trPr>
          <w:tblHeader/>
        </w:trPr>
        <w:tc>
          <w:tcPr>
            <w:tcW w:type="dxa" w:w="18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Reach commercial scale</w:t>
            </w:r>
          </w:p>
        </w:tc>
        <w:tc>
          <w:tcPr>
            <w:tcW w:type="dxa" w:w="7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1,000 paying company (tenant) subscribers.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Strict tenant data isolation</w:t>
            </w:r>
          </w:p>
        </w:tc>
        <w:tc>
          <w:tcPr>
            <w:tcW w:type="dxa" w:w="7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Zero cross-tenant data leaks, verified by automated RLS isolation tests (see </w:t>
            </w:r>
            <w:hyperlink w:history="1" w:anchor="doc_10_test_strategy">
              <w:r>
                <w:rPr>
                  <w:rStyle w:val="Hyperlink"/>
                  <w:sz w:val="20"/>
                  <w:szCs w:val="20"/>
                </w:rPr>
                <w:t xml:space="preserve">Test Strategy</w:t>
              </w:r>
            </w:hyperlink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Reduce fragmentation</w:t>
            </w:r>
          </w:p>
        </w:tc>
        <w:tc>
          <w:tcPr>
            <w:tcW w:type="dxa" w:w="7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lead can move from "New" through "Won" → active Project → approved Estimate → Invoice without re-entering data.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Operational reliability</w:t>
            </w:r>
          </w:p>
        </w:tc>
        <w:tc>
          <w:tcPr>
            <w:tcW w:type="dxa" w:w="7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99.5%+ uptime on self-hosted infrastructure (see </w:t>
            </w:r>
            <w:hyperlink w:history="1" w:anchor="doc_06_nonfunctional_requirements">
              <w:r>
                <w:rPr>
                  <w:rStyle w:val="Hyperlink"/>
                  <w:sz w:val="20"/>
                  <w:szCs w:val="20"/>
                </w:rPr>
                <w:t xml:space="preserve">NFRs</w:t>
              </w:r>
            </w:hyperlink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Note: precise adoption/revenue targets and conversion benchmarks are not yet defined and should be set once pricing (see </w:t>
      </w:r>
      <w:hyperlink w:history="1" w:anchor="doc_08_pricing_subscription_model">
        <w:r>
          <w:rPr>
            <w:rStyle w:val="Hyperlink"/>
          </w:rPr>
          <w:t xml:space="preserve">Pricing &amp; Subscription Model</w:t>
        </w:r>
      </w:hyperlink>
      <w:r>
        <w:t xml:space="preserve">) is finalized against real market feedback — this PRD intentionally does not invent numbers that haven't been validated.</w:t>
      </w:r>
    </w:p>
    <w:p>
      <w:pPr>
        <w:pStyle w:val="Heading2"/>
      </w:pPr>
      <w:r>
        <w:t xml:space="preserve">5. Product Scope</w:t>
      </w:r>
    </w:p>
    <w:p>
      <w:pPr>
        <w:pStyle w:val="Heading3"/>
      </w:pPr>
      <w:r>
        <w:t xml:space="preserve">5.1 In Scope (Full Vision)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Users &amp; Company Management (multi-tenant, nested company hierarchy, RBAC)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CRM (lead pipeline, client communication history)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Management (project lifecycle, tasks, documents, daily logs)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Estimation Engine (cost catalog, markup profiles, quote generation, e-signature approval)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Accounting &amp; Billing (Stripe subscription billing, project invoicing)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External Integrations (QuickBooks / FreshBooks sync)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Compliance Tracking (subcontractor insurance/license expiry, signed change orders)</w:t>
      </w:r>
    </w:p>
    <w:p>
      <w:pPr>
        <w:pStyle w:val="Heading3"/>
      </w:pPr>
      <w:r>
        <w:t xml:space="preserve">5.2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(responsive web only; offline/PWA support is an open question — see Section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Estimating via AI-driven blueprint takeoff (manual/assisted quantity entry only in v1).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 / multi-language support.</w:t>
      </w:r>
    </w:p>
    <w:p>
      <w:pPr>
        <w:pStyle w:val="Heading2"/>
      </w:pPr>
      <w:r>
        <w:t xml:space="preserve">6. MVP Definition</w:t>
      </w:r>
    </w:p>
    <w:p>
      <w:pPr>
        <w:spacing w:after="140"/>
      </w:pPr>
      <w:r>
        <w:t xml:space="preserve">The MVP is the minimum set of modules needed for a construction company to run its core sales-to-execution workflow inside Builders Stream: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Users &amp; Company Management</w:t>
      </w:r>
      <w:r>
        <w:t xml:space="preserve"> (P0 — foundation, required by everything else)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</w:t>
      </w:r>
      <w:r>
        <w:t xml:space="preserve"> (P1)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Management</w:t>
      </w:r>
      <w:r>
        <w:t xml:space="preserve"> (P1)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Estimation Engine</w:t>
      </w:r>
      <w:r>
        <w:t xml:space="preserve">, including e-signature approval on estimates (P1/P2)</w:t>
      </w:r>
    </w:p>
    <w:p>
      <w:pPr>
        <w:spacing w:after="140"/>
      </w:pPr>
      <w:r>
        <w:t xml:space="preserve">Accounting/Billing, QuickBooks/FreshBooks integration, and standalone insurance/license expiry tracking are explicitly </w:t>
      </w:r>
      <w:r>
        <w:rPr>
          <w:b/>
          <w:bCs/>
        </w:rPr>
        <w:t xml:space="preserve">post-MVP</w:t>
      </w:r>
      <w:r>
        <w:t xml:space="preserve"> (see </w:t>
      </w:r>
      <w:hyperlink w:history="1" w:anchor="doc_09_roadmap_implementation_plan">
        <w:r>
          <w:rPr>
            <w:rStyle w:val="Hyperlink"/>
          </w:rPr>
          <w:t xml:space="preserve">Roadmap</w:t>
        </w:r>
      </w:hyperlink>
      <w:r>
        <w:t xml:space="preserve"> for phasing and rationale).</w:t>
      </w:r>
    </w:p>
    <w:p>
      <w:pPr>
        <w:pStyle w:val="Heading2"/>
      </w:pPr>
      <w:r>
        <w:t xml:space="preserve">7.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Team:</w:t>
      </w:r>
      <w:r>
        <w:t xml:space="preserve"> Solo developer, no hard external launch deadline — scope and pacing favor incremental delivery over a fixed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Hosting:</w:t>
      </w:r>
      <w:r>
        <w:t xml:space="preserve"> Self-hosted on the developer's own Proxmox/Dell PowerEdge infrastructure, not a managed cloud platform. This shapes the NFRs (Section 6) and deployment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Architecture:</w:t>
      </w:r>
      <w:r>
        <w:t xml:space="preserve"> Decoupled frontend/backend (Next.js + FastAPI) was chosen deliberately over a unified Next.js-only stack to preserve technology independence and support future non-web clients (mobile, integrations).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Offline/mobile field use:</w:t>
      </w:r>
      <w:r>
        <w:t xml:space="preserve"> Not yet decided. Flagged as an open question — if required later, it affects the Project Management module's sync architecture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8).</w:t>
      </w:r>
    </w:p>
    <w:p>
      <w:pPr>
        <w:pStyle w:val="Heading2"/>
      </w:pPr>
      <w: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3986"/>
        <w:gridCol w:w="842"/>
        <w:gridCol w:w="3690"/>
      </w:tblGrid>
      <w:tr>
        <w:trPr>
          <w:tblHeader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Does field crew usage require offline-capable mobile/PWA support?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3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9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Final dollar pricing for Starter/Pro/Enterprise tiers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3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 — see </w:t>
            </w:r>
            <w:hyperlink w:history="1" w:anchor="doc_08_pricing_subscription_model">
              <w:r>
                <w:rPr>
                  <w:rStyle w:val="Hyperlink"/>
                  <w:sz w:val="20"/>
                  <w:szCs w:val="20"/>
                </w:rPr>
                <w:t xml:space="preserve">Pricing Model</w:t>
              </w:r>
            </w:hyperlink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9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Target adoption/revenue metrics for the 1,000-subscriber goal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3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doc_02_functional_requirements" w:id="2"/>
      <w:r>
        <w:t xml:space="preserve">Builders Stream — Functional Requirements Specification</w:t>
      </w:r>
      <w:bookmarkEnd w:id="2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 ·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 ·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</w:p>
    <w:p>
      <w:pPr>
        <w:spacing w:after="140"/>
      </w:pPr>
      <w:r>
        <w:t xml:space="preserve">Each module lists its core entities, user stories with acceptance criteria, and business rules. Modules are tagged with their implementation priority from the </w:t>
      </w:r>
      <w:hyperlink w:history="1" w:anchor="doc_09_roadmap_implementation_plan">
        <w:r>
          <w:rPr>
            <w:rStyle w:val="Hyperlink"/>
          </w:rPr>
          <w:t xml:space="preserve">Roadmap</w:t>
        </w:r>
      </w:hyperlink>
      <w:r>
        <w:t xml:space="preserve">: </w:t>
      </w:r>
      <w:r>
        <w:rPr>
          <w:b/>
          <w:bCs/>
        </w:rPr>
        <w:t xml:space="preserve">P0</w:t>
      </w:r>
      <w:r>
        <w:t xml:space="preserve"> (foundation), </w:t>
      </w:r>
      <w:r>
        <w:rPr>
          <w:b/>
          <w:bCs/>
        </w:rPr>
        <w:t xml:space="preserve">P1–P2</w:t>
      </w:r>
      <w:r>
        <w:t xml:space="preserve"> (MVP), </w:t>
      </w:r>
      <w:r>
        <w:rPr>
          <w:b/>
          <w:bCs/>
        </w:rPr>
        <w:t xml:space="preserve">P3–P4</w:t>
      </w:r>
      <w:r>
        <w:t xml:space="preserve"> (post-MVP).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1. Users &amp; Company Management (P0)</w:t>
      </w:r>
    </w:p>
    <w:p>
      <w:pPr>
        <w:pStyle w:val="Heading3"/>
      </w:pPr>
      <w:r>
        <w:t xml:space="preserve">Core Entities</w:t>
      </w:r>
    </w:p>
    <w:p>
      <w:pPr>
        <w:spacing w:after="140"/>
      </w:pPr>
      <w:r>
        <w:t xml:space="preserve">Company (with optional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parent_id</w:t>
      </w:r>
      <w:r>
        <w:t xml:space="preserve"> for nested branches), User, CompanyUser (role assignment), Invitation.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US-1.1</w:t>
      </w:r>
      <w:r>
        <w:t xml:space="preserve"> — As a company owner, I can create a company account and become its first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 new Company row is created; the creating user is assigned the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admin</w:t>
      </w:r>
      <w:r>
        <w:t xml:space="preserve"> role via CompanyUser.</w:t>
      </w:r>
    </w:p>
    <w:p>
      <w:pPr>
        <w:spacing w:after="140"/>
      </w:pPr>
      <w:r>
        <w:rPr>
          <w:b/>
          <w:bCs/>
        </w:rPr>
        <w:t xml:space="preserve">US-1.2</w:t>
      </w:r>
      <w:r>
        <w:t xml:space="preserve"> — As an Admin, I can invite additional users to my company with a specific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An invitation email is sent; accepting it creates a CompanyUser row with the assigned role; invitations expire after 7 days.</w:t>
      </w:r>
    </w:p>
    <w:p>
      <w:pPr>
        <w:spacing w:after="140"/>
      </w:pPr>
      <w:r>
        <w:rPr>
          <w:b/>
          <w:bCs/>
        </w:rPr>
        <w:t xml:space="preserve">US-1.3</w:t>
      </w:r>
      <w:r>
        <w:t xml:space="preserve"> — As an Admin of a parent company, I can create child branch companies and view aggregated data across all of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Child companies inherit no data by default but are visible to parent-company admins per the recursive RLS policy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5).</w:t>
      </w:r>
    </w:p>
    <w:p>
      <w:pPr>
        <w:spacing w:after="140"/>
      </w:pPr>
      <w:r>
        <w:rPr>
          <w:b/>
          <w:bCs/>
        </w:rPr>
        <w:t xml:space="preserve">US-1.4</w:t>
      </w:r>
      <w:r>
        <w:t xml:space="preserve"> — As any authenticated user, I can only see and act on data belonging to my company (and its children, if I have parent-level access).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Verified by automated RLS isolation tests (see </w:t>
      </w:r>
      <w:hyperlink w:history="1" w:anchor="doc_10_test_strategy">
        <w:r>
          <w:rPr>
            <w:rStyle w:val="Hyperlink"/>
          </w:rPr>
          <w:t xml:space="preserve">Test Strategy</w:t>
        </w:r>
      </w:hyperlink>
      <w:r>
        <w:t xml:space="preserve">, Section 2).</w:t>
      </w:r>
    </w:p>
    <w:p>
      <w:pPr>
        <w:pStyle w:val="Heading3"/>
      </w:pPr>
      <w:r>
        <w:t xml:space="preserve">Roles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3"/>
        <w:gridCol w:w="8127"/>
      </w:tblGrid>
      <w:tr>
        <w:trPr>
          <w:tblHeader/>
        </w:trPr>
        <w:tc>
          <w:tcPr>
            <w:tcW w:type="dxa" w:w="1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1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1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 across all modules within their company (and children, if parent).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81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 on CRM, Projects, Tasks, Estimates within their company. No billing/subscription access.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Field Crew</w:t>
            </w:r>
          </w:p>
        </w:tc>
        <w:tc>
          <w:tcPr>
            <w:tcW w:type="dxa" w:w="81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assigned tasks; create Daily Logs and upload photos. No access to budgets or client contact financial data.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Accountant</w:t>
            </w:r>
          </w:p>
        </w:tc>
        <w:tc>
          <w:tcPr>
            <w:tcW w:type="dxa" w:w="81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access to Billing/Accounting module; read-only elsewhere.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Client (external)</w:t>
            </w:r>
          </w:p>
        </w:tc>
        <w:tc>
          <w:tcPr>
            <w:tcW w:type="dxa" w:w="81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Read-only sanitized project dashboard; can approve/reject Estimates and Change Orders via e-signature.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Full permission matrix is defined in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2.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may belong to more than one company (e.g., a subcontractor working with multiple clients), but each membership has its own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Deactivating a company (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is_active = false</w:t>
      </w:r>
      <w:r>
        <w:t xml:space="preserve">) cascades to block login for all its users but does not delete data.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2. CRM (P1)</w:t>
      </w:r>
    </w:p>
    <w:p>
      <w:pPr>
        <w:pStyle w:val="Heading3"/>
      </w:pPr>
      <w:r>
        <w:t xml:space="preserve">Core Entities</w:t>
      </w:r>
    </w:p>
    <w:p>
      <w:pPr>
        <w:spacing w:after="140"/>
      </w:pPr>
      <w:r>
        <w:t xml:space="preserve">Lead, Communication Log (notes/emails/calls linked to a Lead).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US-2.1</w:t>
      </w:r>
      <w:r>
        <w:t xml:space="preserve"> — As a Project Manager, I can create a new Lead with contact info, project type, and an estimated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Lead is created with status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new</w:t>
      </w:r>
      <w:r>
        <w:t xml:space="preserve">; validation matches the schema in </w:t>
      </w:r>
      <w:hyperlink w:history="1" w:anchor="doc_05_api_specification">
        <w:r>
          <w:rPr>
            <w:rStyle w:val="Hyperlink"/>
          </w:rPr>
          <w:t xml:space="preserve">API Specification</w:t>
        </w:r>
      </w:hyperlink>
      <w:r>
        <w:t xml:space="preserve">, Section 2.</w:t>
      </w:r>
    </w:p>
    <w:p>
      <w:pPr>
        <w:spacing w:after="140"/>
      </w:pPr>
      <w:r>
        <w:rPr>
          <w:b/>
          <w:bCs/>
        </w:rPr>
        <w:t xml:space="preserve">US-2.2</w:t>
      </w:r>
      <w:r>
        <w:t xml:space="preserve"> — As a Project Manager, I can move a Lead through the pipeline: New → Contacted → Estimating → Qualified → Won/Lost.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Status transitions are logged with a timestamp and the acting user.</w:t>
      </w:r>
    </w:p>
    <w:p>
      <w:pPr>
        <w:spacing w:after="140"/>
      </w:pPr>
      <w:r>
        <w:rPr>
          <w:b/>
          <w:bCs/>
        </w:rPr>
        <w:t xml:space="preserve">US-2.3</w:t>
      </w:r>
      <w:r>
        <w:t xml:space="preserve"> — As a Project Manager, when I mark a Lead "Won," a Project is automatically drafted with the client details carried 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PROJECT_DRAFTED</w:t>
      </w:r>
      <w:r>
        <w:t xml:space="preserve"> event fires; a new Project row is created in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draft</w:t>
      </w:r>
      <w:r>
        <w:t xml:space="preserve"> status referencing the originating Lead.</w:t>
      </w:r>
    </w:p>
    <w:p>
      <w:pPr>
        <w:spacing w:after="140"/>
      </w:pPr>
      <w:r>
        <w:rPr>
          <w:b/>
          <w:bCs/>
        </w:rPr>
        <w:t xml:space="preserve">US-2.4</w:t>
      </w:r>
      <w:r>
        <w:t xml:space="preserve"> — As any CRM user, I can log a communication (call, email, note) against a Lead and see a chronological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Communication Log entries are immutable once saved (edits create a new entry, not an overwrite).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Lead cannot be deleted once it has an associated Estimate or Project; it can only be marked "Lost."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status "Estimating" is the trigger point that allows an Estimate to be created against it (see Section 4).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3. Project Management (P1)</w:t>
      </w:r>
    </w:p>
    <w:p>
      <w:pPr>
        <w:pStyle w:val="Heading3"/>
      </w:pPr>
      <w:r>
        <w:t xml:space="preserve">Core Entities</w:t>
      </w:r>
    </w:p>
    <w:p>
      <w:pPr>
        <w:spacing w:after="140"/>
      </w:pPr>
      <w:r>
        <w:t xml:space="preserve">Project, Phase/Milestone, Task, Document, Daily Log.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US-3.1</w:t>
      </w:r>
      <w:r>
        <w:t xml:space="preserve"> — As a Project Manager, I can define Phases (e.g., "Site Prep," "Foundation," "Framing") and add Tasks within each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Tasks require a name, due date, and assignee; they belong to exactly one Phase.</w:t>
      </w:r>
    </w:p>
    <w:p>
      <w:pPr>
        <w:spacing w:after="140"/>
      </w:pPr>
      <w:r>
        <w:rPr>
          <w:b/>
          <w:bCs/>
        </w:rPr>
        <w:t xml:space="preserve">US-3.2</w:t>
      </w:r>
      <w:r>
        <w:t xml:space="preserve"> — As a Project Manager, I can advance a Project through its lifecycle: Draft → Pre-Construction → Active → Suspended → Completed → Archived.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Illegal transitions (e.g., Draft → Completed) are rejected by the backend state machine.</w:t>
      </w:r>
    </w:p>
    <w:p>
      <w:pPr>
        <w:spacing w:after="140"/>
      </w:pPr>
      <w:r>
        <w:rPr>
          <w:b/>
          <w:bCs/>
        </w:rPr>
        <w:t xml:space="preserve">US-3.3</w:t>
      </w:r>
      <w:r>
        <w:t xml:space="preserve"> — As Field Crew, I can view my assigned Tasks and submit a Daily Log (weather, progress notes, photos) for a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Daily Logs are timestamped, author-attributed, and immutable once submitted.</w:t>
      </w:r>
    </w:p>
    <w:p>
      <w:pPr>
        <w:spacing w:after="140"/>
      </w:pPr>
      <w:r>
        <w:rPr>
          <w:b/>
          <w:bCs/>
        </w:rPr>
        <w:t xml:space="preserve">US-3.4</w:t>
      </w:r>
      <w:r>
        <w:t xml:space="preserve"> — As a Project Manager, I can upload and organize Documents (blueprints, permits, inspection reports) against a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Documents support versioning; the most recent version is shown by default with prior versions accessible.</w:t>
      </w:r>
    </w:p>
    <w:p>
      <w:pPr>
        <w:spacing w:after="140"/>
      </w:pPr>
      <w:r>
        <w:rPr>
          <w:b/>
          <w:bCs/>
        </w:rPr>
        <w:t xml:space="preserve">US-3.5</w:t>
      </w:r>
      <w:r>
        <w:t xml:space="preserve"> — As a Client, I can view a read-only dashboard showing my project's progress, milestones, and approved photos, without seeing budget or internal task detail.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Client-facing view excludes financial fields (verified by RBAC scoping — see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).</w:t>
      </w:r>
    </w:p>
    <w:p>
      <w:pPr>
        <w:spacing w:after="140"/>
      </w:pPr>
      <w:r>
        <w:rPr>
          <w:b/>
          <w:bCs/>
        </w:rPr>
        <w:t xml:space="preserve">US-3.6</w:t>
      </w:r>
      <w:r>
        <w:t xml:space="preserve"> — As a Project Manager, I can create a Change Order against an active Project and route it to the Client for e-signature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Change Order requires a description, cost delta, and schedule impact; it is not binding until the client's e-signature is captured (see Section 4 and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6).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Hierarchical visibility: a user with parent-branch access sees Projects across all child branches; a child-branch user sees only their own branch's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Project cannot move to "Completed" while it has open (non-approved) Change Orders.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4. Estimation Engine (P1/P2 — MVP)</w:t>
      </w:r>
    </w:p>
    <w:p>
      <w:pPr>
        <w:pStyle w:val="Heading3"/>
      </w:pPr>
      <w:r>
        <w:t xml:space="preserve">Core Entities</w:t>
      </w:r>
    </w:p>
    <w:p>
      <w:pPr>
        <w:spacing w:after="140"/>
      </w:pPr>
      <w:r>
        <w:t xml:space="preserve">Estimate (Quote), Cost Catalog Item, Line Item, Markup Profile.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US-4.1</w:t>
      </w:r>
      <w:r>
        <w:t xml:space="preserve"> — As a Project Manager, I can create a blank Estimate against a Lead or Project and select a Markup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Estimate starts with zero line items and a status of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draft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US-4.2</w:t>
      </w:r>
      <w:r>
        <w:t xml:space="preserve"> — As a Project Manager, I can add Line Items to an Estimate by selecting Cost Catalog items and specifying quantities.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Each Line Item's total is computed server-side as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quantity × unit_rate</w:t>
      </w:r>
      <w:r>
        <w:t xml:space="preserve">; client-submitted totals are never trusted.</w:t>
      </w:r>
    </w:p>
    <w:p>
      <w:pPr>
        <w:spacing w:after="140"/>
      </w:pPr>
      <w:r>
        <w:rPr>
          <w:b/>
          <w:bCs/>
        </w:rPr>
        <w:t xml:space="preserve">US-4.3</w:t>
      </w:r>
      <w:r>
        <w:t xml:space="preserve"> — As a Project Manager, I can trigger a recalculation that applies category subtotals, overhead markup, profit margin, and tax in a fixed order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6) to produce a final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All monetary math uses fixed-point decimal arithmetic; no floating-point rounding errors.</w:t>
      </w:r>
    </w:p>
    <w:p>
      <w:pPr>
        <w:spacing w:after="140"/>
      </w:pPr>
      <w:r>
        <w:rPr>
          <w:b/>
          <w:bCs/>
        </w:rPr>
        <w:t xml:space="preserve">US-4.4</w:t>
      </w:r>
      <w:r>
        <w:t xml:space="preserve"> — As a Project Manager, I can export an Estimate as a branded PDF proposal and send it to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PDF generation is asynchronous (background job); the requester receives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202 Accepted</w:t>
      </w:r>
      <w:r>
        <w:t xml:space="preserve"> and is notified when the PDF is ready.</w:t>
      </w:r>
    </w:p>
    <w:p>
      <w:pPr>
        <w:spacing w:after="140"/>
      </w:pPr>
      <w:r>
        <w:rPr>
          <w:b/>
          <w:bCs/>
        </w:rPr>
        <w:t xml:space="preserve">US-4.5</w:t>
      </w:r>
      <w:r>
        <w:t xml:space="preserve"> — As a Client, I can review an emailed Estimate and approve it with an e-signature, or reject it with a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Approval captures a timestamp, IP address, and signature artifact sufficient to satisfy the ESIGN Act's intent-to-sign requirement (see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6).</w:t>
      </w:r>
    </w:p>
    <w:p>
      <w:pPr>
        <w:spacing w:after="140"/>
      </w:pPr>
      <w:r>
        <w:rPr>
          <w:b/>
          <w:bCs/>
        </w:rPr>
        <w:t xml:space="preserve">US-4.6</w:t>
      </w:r>
      <w:r>
        <w:t xml:space="preserve"> — As an Admin, I can define company-wide (or branch-specific) Cost Catalog items and Markup Profiles, with child branches able to override inherited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 child branch's local override takes precedence over the parent's catalog entry for that item; the parent catalog itself is unaffected.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Historical immutability:</w:t>
      </w:r>
      <w:r>
        <w:t xml:space="preserve"> once an Estimate is Approved (client-signed) or marked Won, its line items are snapshotted and become immutable, even if the underlying Cost Catalog price later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Estimate can only be created against a Lead in "Estimating" status or an existing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Approving an Estimate emits an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ESTIMATE_APPROVED</w:t>
      </w:r>
      <w:r>
        <w:t xml:space="preserve"> event consumed by the Accounting/Billing module (Section 5) to draft the initial invoice.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5. Accounting &amp; Billing (P3 — Post-MVP)</w:t>
      </w:r>
    </w:p>
    <w:p>
      <w:pPr>
        <w:pStyle w:val="Heading3"/>
      </w:pPr>
      <w:r>
        <w:t xml:space="preserve">Core Entities</w:t>
      </w:r>
    </w:p>
    <w:p>
      <w:pPr>
        <w:spacing w:after="140"/>
      </w:pPr>
      <w:r>
        <w:t xml:space="preserve">Subscription (company's Builders Stream plan), Invoice, Payment, Expense.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US-5.1</w:t>
      </w:r>
      <w:r>
        <w:t xml:space="preserve"> — As an Admin, I can view and manage my company's Builders Stream subscription (plan tier, seats, billing history) via a Stripe-hosted customer portal.</w:t>
      </w:r>
    </w:p>
    <w:p>
      <w:pPr>
        <w:spacing w:after="140"/>
      </w:pPr>
      <w:r>
        <w:rPr>
          <w:b/>
          <w:bCs/>
        </w:rPr>
        <w:t xml:space="preserve">US-5.2</w:t>
      </w:r>
      <w:r>
        <w:t xml:space="preserve"> — As an Accountant, when a Project Estimate is approved, a draft client-facing Invoice is automatically generated for the deposit amount.</w:t>
      </w:r>
    </w:p>
    <w:p>
      <w:pPr>
        <w:spacing w:after="140"/>
      </w:pPr>
      <w:r>
        <w:rPr>
          <w:b/>
          <w:bCs/>
        </w:rPr>
        <w:t xml:space="preserve">US-5.3</w:t>
      </w:r>
      <w:r>
        <w:t xml:space="preserve"> — As an Accountant, I can record Expenses against a Project and see running actual-vs-estimated cost.</w:t>
      </w:r>
    </w:p>
    <w:p>
      <w:pPr>
        <w:spacing w:after="140"/>
      </w:pPr>
      <w:r>
        <w:rPr>
          <w:b/>
          <w:bCs/>
        </w:rPr>
        <w:t xml:space="preserve">US-5.4</w:t>
      </w:r>
      <w:r>
        <w:t xml:space="preserve"> — As an Accountant, I can view a financial report showing project profitability, outstanding invoices, and tax liability across the company.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Builders Stream subscription billing (what the contractor pays to use the platform) and client-facing Project invoicing (what the contractor bills their own customer) are separate financial flows and must not be conflated in the data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records are never overwritten; corrections are made via new, linked entries (append-only ledger discipline).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6. External Integrations — QuickBooks / FreshBooks (P4 — Post-MVP)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US-6.1</w:t>
      </w:r>
      <w:r>
        <w:t xml:space="preserve"> — As an Accountant, I can connect my company's QuickBooks or FreshBooks account via OAuth.</w:t>
      </w:r>
    </w:p>
    <w:p>
      <w:pPr>
        <w:spacing w:after="140"/>
      </w:pPr>
      <w:r>
        <w:rPr>
          <w:b/>
          <w:bCs/>
        </w:rPr>
        <w:t xml:space="preserve">US-6.2</w:t>
      </w:r>
      <w:r>
        <w:t xml:space="preserve"> — As an Accountant, when an Invoice or Expense is created/updated in Builders Stream, it syncs to the connected accounting platform asynchronously, with retry on transient failure and a visible sync-status indicator.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failures must not block core Builders Stream workflows — the sync runs as a background task, decoupled from the request/response cycle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4).</w:t>
      </w:r>
    </w:p>
    <w:p>
      <w:pPr>
        <w:pBdr>
          <w:bottom w:val="single" w:color="CBD5E0" w:sz="6" w:space="1"/>
        </w:pBdr>
        <w:spacing w:after="120" w:before="120"/>
      </w:pPr>
    </w:p>
    <w:p>
      <w:pPr>
        <w:pStyle w:val="Heading2"/>
      </w:pPr>
      <w:r>
        <w:t xml:space="preserve">7. Compliance Tracking (Cross-Cutting)</w:t>
      </w:r>
    </w:p>
    <w:p>
      <w:pPr>
        <w:spacing w:after="140"/>
      </w:pPr>
      <w:r>
        <w:t xml:space="preserve">Spans Users &amp; Company (subcontractor/vendor records), Project Management (change order e-signatures), and Estimation (estimate e-signatures).</w:t>
      </w:r>
    </w:p>
    <w:p>
      <w:pPr>
        <w:pStyle w:val="Heading3"/>
      </w:pPr>
      <w:r>
        <w:t xml:space="preserve">User Stories</w:t>
      </w:r>
    </w:p>
    <w:p>
      <w:pPr>
        <w:spacing w:after="140"/>
      </w:pPr>
      <w:r>
        <w:rPr>
          <w:b/>
          <w:bCs/>
        </w:rPr>
        <w:t xml:space="preserve">US-7.1</w:t>
      </w:r>
      <w:r>
        <w:t xml:space="preserve"> — As an Admin, I can add Subcontractors/Vendors to my company with attached insurance certificates and license documents, each with an expiration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The system sends a notification to the Admin 30/14/7 days before an insurance certificate or license expires.</w:t>
      </w:r>
    </w:p>
    <w:p>
      <w:pPr>
        <w:spacing w:after="140"/>
      </w:pPr>
      <w:r>
        <w:rPr>
          <w:b/>
          <w:bCs/>
        </w:rPr>
        <w:t xml:space="preserve">US-7.2</w:t>
      </w:r>
      <w:r>
        <w:t xml:space="preserve"> — As an Admin, I can see a company-wide compliance dashboard listing all subcontractors with expiring or expired documentation.</w:t>
      </w:r>
    </w:p>
    <w:p>
      <w:pPr>
        <w:spacing w:after="140"/>
      </w:pPr>
      <w:r>
        <w:rPr>
          <w:b/>
          <w:bCs/>
        </w:rPr>
        <w:t xml:space="preserve">US-7.3</w:t>
      </w:r>
      <w:r>
        <w:t xml:space="preserve"> — As a Project Manager, I cannot assign an expired-insurance Subcontractor to an active Project without an explicit Admin override (logged).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Attempting the assignment surfaces a warning; proceeding requires Admin role and is recorded in the audit log.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E-signature events (Estimate approval, Change Order approval) are treated as legal compliance records and are retained per the data retention policy in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7 — they are never deleted, only superseded.</w:t>
      </w:r>
    </w:p>
    <w:p>
      <w:pPr>
        <w:pStyle w:val="Heading1"/>
        <w:pageBreakBefore/>
      </w:pPr>
      <w:bookmarkStart w:name="doc_03_technical_architecture" w:id="3"/>
      <w:r>
        <w:t xml:space="preserve">Builders Stream — Technical Architecture</w:t>
      </w:r>
      <w:bookmarkEnd w:id="3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 ·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  <w:r>
        <w:t xml:space="preserve"> ·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 · </w:t>
      </w:r>
      <w:hyperlink w:history="1" w:anchor="doc_06_nonfunctional_requirements">
        <w:r>
          <w:rPr>
            <w:rStyle w:val="Hyperlink"/>
          </w:rPr>
          <w:t xml:space="preserve">NFRs</w:t>
        </w:r>
      </w:hyperlink>
    </w:p>
    <w:p>
      <w:pPr>
        <w:pStyle w:val="Heading2"/>
      </w:pPr>
      <w:r>
        <w:t xml:space="preserve">1. Architecture Pattern</w:t>
      </w:r>
    </w:p>
    <w:p>
      <w:pPr>
        <w:spacing w:after="140"/>
      </w:pPr>
      <w:r>
        <w:rPr>
          <w:b/>
          <w:bCs/>
        </w:rPr>
        <w:t xml:space="preserve">Decoupled Modular Monolith.</w:t>
      </w:r>
      <w:r>
        <w:t xml:space="preserve"> The frontend and backend are independently deployable services communicating over a versioned HTTP/JSON API. The backend itself is a single deployable service internally organized into strictly-bounded modules (not a microservices mesh) — this avoids distributed-systems overhead while a solo developer builds out the platform, while keeping module boundaries clean enough to extract a module into its own service later if it becomes a scaling bottleneck.</w:t>
      </w:r>
    </w:p>
    <w:p>
      <w:pPr>
        <w:pStyle w:val="Heading2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4108"/>
        <w:gridCol w:w="4410"/>
      </w:tblGrid>
      <w:tr>
        <w:trPr>
          <w:tblHeader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16 (App Router), TypeScript, Tailwind CSS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Modern DX, strong ecosystem, SSR for client-facing dashboards.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Async I/O, native OpenAPI schema generation, strong typing via Pydantic v2.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16+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Relational integrity, native Row-Level Security, JSONB for flexible fields.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ORM / Migrations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SQLAlchemy (async) + Alembic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Industry-standard Python persistence and migration tooling.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Celery or Dramatiq + Redis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PDF generation, QuickBooks/FreshBooks sync, notification delivery.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OIDC/JWT-based (e.g., self-hosted Keycloak or a library such as Better Auth adapted to FastAPI)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Decouples identity from the API; supports future non-web clients.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Stripe (Billing + Customer Portal)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Handles Builders Stream's own subscription billing (not client-facing project invoicing).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Reverse Proxy / TLS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Traefik or Nginx + Let's Encrypt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Required for self-hosted deployment (Section 8).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Sentry (errors), PostHog (product analytics)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Self-hostable or cloud, both have generous free/self-host tiers.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Contract</w:t>
            </w:r>
          </w:p>
        </w:tc>
        <w:tc>
          <w:tcPr>
            <w:tcW w:type="dxa" w:w="41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OpenAPI (auto-generated by FastAPI) →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openapi-typescript</w:t>
            </w:r>
          </w:p>
        </w:tc>
        <w:tc>
          <w:tcPr>
            <w:tcW w:type="dxa" w:w="44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TypeScript types are generated from the backend schema, never hand-written, to prevent drift.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 Modular Domain Decomposition</w:t>
      </w:r>
    </w:p>
    <w:p>
      <w:pPr>
        <w:spacing w:after="140"/>
      </w:pPr>
      <w:r>
        <w:t xml:space="preserve">The backend is organized as internal packages, one per bounded context: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src/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core/        # tenant context, auth, RBAC, shared utilities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users/       # Users &amp; Company Management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crm/         # CRM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projects/    # Project Management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estimation/  # Estimation Engine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billing/     # Accounting &amp; Billing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integrations/# QuickBooks / FreshBooks sync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compliance/  # Subcontractor certs, e-signature records (cross-cutting)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Encapsulation rule:</w:t>
      </w:r>
      <w:r>
        <w:t xml:space="preserve"> a module may only read another module's data through that module's public service interface (a Python function/class), never by querying another module's tables directly. This is enforced by code review discipline (and can later be enforced mechanically with import-linter) rather than by physical service boundaries.</w:t>
      </w:r>
    </w:p>
    <w:p>
      <w:pPr>
        <w:pStyle w:val="Heading2"/>
      </w:pPr>
      <w:r>
        <w:t xml:space="preserve">4. Cross-Module Communication: Internal Event Bus</w:t>
      </w:r>
    </w:p>
    <w:p>
      <w:pPr>
        <w:spacing w:after="140"/>
      </w:pPr>
      <w:r>
        <w:t xml:space="preserve">Complex workflows span multiple modules (e.g., CRM lead → Project → Estimate → Invoice). Rather than modules calling each other synchronously and creating tight coupling, state-changing milestones publish events on an in-process (or Redis-backed) event bus: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1404"/>
        <w:gridCol w:w="6474"/>
      </w:tblGrid>
      <w:tr>
        <w:trPr>
          <w:tblHeader/>
        </w:trPr>
        <w:tc>
          <w:tcPr>
            <w:tcW w:type="dxa" w:w="148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Published By</w:t>
            </w:r>
          </w:p>
        </w:tc>
        <w:tc>
          <w:tcPr>
            <w:tcW w:type="dxa" w:w="64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LEAD_WON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64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Management (drafts a new Project)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ESTIMATE_APPROVED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Estimation</w:t>
            </w:r>
          </w:p>
        </w:tc>
        <w:tc>
          <w:tcPr>
            <w:tcW w:type="dxa" w:w="64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Billing (drafts deposit invoice)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PROJECT_COMPLETED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4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Billing (triggers final invoice), Integrations (syncs final job cost to QuickBooks)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INVOICE_PAID</w:t>
            </w:r>
          </w:p>
        </w:tc>
        <w:tc>
          <w:tcPr>
            <w:tcW w:type="dxa" w:w="14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64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Management (unlocks next milestone, if gated)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This keeps modules loosely coupled: Billing does not need to know CRM's internals, only that an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ESTIMATE_APPROVED</w:t>
      </w:r>
      <w:r>
        <w:t xml:space="preserve"> event carries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project_id</w:t>
      </w:r>
      <w:r>
        <w:t xml:space="preserve"> and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approved_total</w:t>
      </w:r>
      <w:r>
        <w:t xml:space="preserve">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2000250"/>
            <wp:effectExtent t="0" r="0" b="0" l="0"/>
            <wp:docPr id="1" name="Lead-to-Cash event flow across modules" descr="Lead-to-Cash event flow across modules" title="Lead-to-Cash event flow across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718096"/>
          <w:sz w:val="18"/>
          <w:szCs w:val="18"/>
        </w:rPr>
        <w:t xml:space="preserve">Lead-to-Cash event flow across modules</w:t>
      </w:r>
    </w:p>
    <w:p>
      <w:pPr>
        <w:pStyle w:val="Heading2"/>
      </w:pPr>
      <w:r>
        <w:t xml:space="preserve">5. Multi-Tenancy &amp; Data Isolation</w:t>
      </w:r>
    </w:p>
    <w:p>
      <w:pPr>
        <w:pStyle w:val="Heading3"/>
      </w:pPr>
      <w:r>
        <w:t xml:space="preserve">5.1 Tenant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 database, shared schema.</w:t>
      </w:r>
      <w:r>
        <w:t xml:space="preserve"> All tenant data lives in the same tables; every tenant-owned table carries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Nested company hierarchy.</w:t>
      </w:r>
      <w:r>
        <w:t xml:space="preserve">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companies.parent_id</w:t>
      </w:r>
      <w:r>
        <w:t xml:space="preserve"> self-references, allowing parent/child branch structures (see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, Section 2).</w:t>
      </w:r>
    </w:p>
    <w:p>
      <w:pPr>
        <w:pStyle w:val="Heading3"/>
      </w:pPr>
      <w:r>
        <w:t xml:space="preserve">5.2 Enforcement: PostgreSQL Row-Level Security (RLS)</w:t>
      </w:r>
    </w:p>
    <w:p>
      <w:pPr>
        <w:spacing w:after="140"/>
      </w:pPr>
      <w:r>
        <w:t xml:space="preserve">RLS is the </w:t>
      </w:r>
      <w:r>
        <w:rPr>
          <w:b/>
          <w:bCs/>
        </w:rPr>
        <w:t xml:space="preserve">primary</w:t>
      </w:r>
      <w:r>
        <w:t xml:space="preserve"> enforcement mechanism, not just a code-level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WHERE company_id = ...</w:t>
      </w:r>
      <w:r>
        <w:t xml:space="preserve"> convention — the database itself rejects cross-tenant access even if application code has a bug.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TenantMiddleware</w:t>
      </w:r>
      <w:r>
        <w:t xml:space="preserve"> in FastAPI extracts the active tenant's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company_id</w:t>
      </w:r>
      <w:r>
        <w:t xml:space="preserve"> from the validated JWT (or an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X-Tenant-ID</w:t>
      </w:r>
      <w:r>
        <w:t xml:space="preserve"> header for a user with access to multiple companies) and stores it in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contextvars.ContextVar</w:t>
      </w:r>
      <w:r>
        <w:t xml:space="preserve"> for the duration of the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Before any database query executes, the connection issues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SET LOCAL app.current_tenant = '&lt;company_id&gt;'</w:t>
      </w:r>
      <w:r>
        <w:t xml:space="preserve"> for that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tenant-owned table has an RLS policy such as:</w:t>
      </w:r>
    </w:p>
    <w:p>
      <w:pPr>
        <w:spacing w:after="140"/>
      </w:pPr>
      <w:r>
        <w:t xml:space="preserve">   ```sql</w:t>
      </w:r>
    </w:p>
    <w:p>
      <w:pPr>
        <w:spacing w:after="140"/>
      </w:pPr>
      <w:r>
        <w:t xml:space="preserve">   USING (company_id IN (SELECT get_all_descendant_ids(current_setting('app.current_tenant')::uuid)))</w:t>
      </w:r>
    </w:p>
    <w:p>
      <w:pPr>
        <w:spacing w:after="140"/>
      </w:pPr>
      <w:r>
        <w:t xml:space="preserve">   ```</w:t>
      </w:r>
    </w:p>
    <w:p>
      <w:pPr>
        <w:spacing w:after="140"/>
      </w:pPr>
      <w:r>
        <w:t xml:space="preserve">   where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get_all_descendant_ids</w:t>
      </w:r>
      <w:r>
        <w:t xml:space="preserve"> is a recursive SQL function that returns the active company plus all of its child branches — giving parent-branch users visibility into child data while strictly isolating siblings from each other.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tree grows large enough that the recursive lookup becomes a measurable cost, the permitted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company_id</w:t>
      </w:r>
      <w:r>
        <w:t xml:space="preserve"> set can be cached in the user's session/JWT at login instead of recomputed per request (see </w:t>
      </w:r>
      <w:hyperlink w:history="1" w:anchor="doc_06_nonfunctional_requirements">
        <w:r>
          <w:rPr>
            <w:rStyle w:val="Hyperlink"/>
          </w:rPr>
          <w:t xml:space="preserve">NFRs</w:t>
        </w:r>
      </w:hyperlink>
      <w:r>
        <w:t xml:space="preserve">, Section 2 for the trigger threshold).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171825"/>
            <wp:effectExtent t="0" r="0" b="0" l="0"/>
            <wp:docPr id="1" name="Nested company hierarchy and RLS visibility scope" descr="Nested company hierarchy and RLS visibility scope" title="Nested company hierarchy and RLS visibility 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718096"/>
          <w:sz w:val="18"/>
          <w:szCs w:val="18"/>
        </w:rPr>
        <w:t xml:space="preserve">Nested company hierarchy and RLS visibility scope</w:t>
      </w:r>
    </w:p>
    <w:p>
      <w:pPr>
        <w:pStyle w:val="Heading3"/>
      </w:pPr>
      <w:r>
        <w:t xml:space="preserve">5.3 Tenant Context Propagation (Frontend → Backend)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attaches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Authorization: Bearer &lt;jwt&gt;</w:t>
      </w:r>
      <w:r>
        <w:t xml:space="preserve"> and, for multi-company users, an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X-Tenant-ID</w:t>
      </w:r>
      <w:r>
        <w:t xml:space="preserve"> header indicating the "active branch" selected in the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middleware validates both before any module logic executes; requests without a resolvable tenant context are rejected (except public/auth routes).</w:t>
      </w:r>
    </w:p>
    <w:p>
      <w:pPr>
        <w:pStyle w:val="Heading2"/>
      </w:pPr>
      <w:r>
        <w:t xml:space="preserve">6. Estimation Calculation Rules</w:t>
      </w:r>
    </w:p>
    <w:p>
      <w:pPr>
        <w:spacing w:after="140"/>
      </w:pPr>
      <w:r>
        <w:t xml:space="preserve">To guarantee reproducible, auditable quotes, the Estimation module executes calculations server-side, in this fixed order, using Python's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decimal</w:t>
      </w:r>
      <w:r>
        <w:t xml:space="preserve"> module (never floats) for all currency math: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Line item base cost =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quantity × unit_rate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Category subtotals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Overhead markup applied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Profit margin applied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Tax liability calculated (if applicable)</w:t>
      </w:r>
    </w:p>
    <w:p>
      <w:pPr>
        <w:spacing w:after="140"/>
      </w:pPr>
      <w:r>
        <w:t xml:space="preserve">Client-submitted totals are always ignored in favor of a server-side recompute — the frontend calculation is a preview only.</w:t>
      </w:r>
    </w:p>
    <w:p>
      <w:pPr>
        <w:pStyle w:val="Heading2"/>
      </w:pPr>
      <w:r>
        <w:t xml:space="preserve">7. Asynchronous Processing</w:t>
      </w:r>
    </w:p>
    <w:p>
      <w:pPr>
        <w:spacing w:after="140"/>
      </w:pPr>
      <w:r>
        <w:t xml:space="preserve">Operations that are slow or involve third parties run as background tasks (Celery/Dramatiq workers backed by Redis), not inline in the request/response cycle: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generation for Estimate proposals (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/estimates/{id}/export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QuickBooks/FreshBooks synchronization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expiry notifications (insurance/license reminders)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transactional email</w:t>
      </w:r>
    </w:p>
    <w:p>
      <w:pPr>
        <w:spacing w:after="140"/>
      </w:pPr>
      <w:r>
        <w:t xml:space="preserve">The API returns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202 Accepted</w:t>
      </w:r>
      <w:r>
        <w:t xml:space="preserve"> immediately for these operations; the frontend polls or receives a websocket/notification event when the job completes.</w:t>
      </w:r>
    </w:p>
    <w:p>
      <w:pPr>
        <w:pStyle w:val="Heading2"/>
      </w:pPr>
      <w:r>
        <w:t xml:space="preserve">8. Deployment Topology (Self-Hosted)</w:t>
      </w:r>
    </w:p>
    <w:p>
      <w:pPr>
        <w:spacing w:after="140"/>
      </w:pPr>
      <w:r>
        <w:t xml:space="preserve">Target environment: the developer's own Proxmox/Dell PowerEdge infrastructure, not a managed cloud PaaS.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14725"/>
            <wp:effectExtent t="0" r="0" b="0" l="0"/>
            <wp:docPr id="1" name="Self-hosted deployment architecture" descr="Self-hosted deployment architecture" title="Self-hosted deploym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718096"/>
          <w:sz w:val="18"/>
          <w:szCs w:val="18"/>
        </w:rPr>
        <w:t xml:space="preserve">Self-hosted deployment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component runs as a Docker container, orchestrated via Docker Compose (or a lightweight stack such as Docker Swarm) on a Proxmox VM.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data volume and Redis persistence are backed by scheduled, off-host backups (see </w:t>
      </w:r>
      <w:hyperlink w:history="1" w:anchor="doc_06_nonfunctional_requirements">
        <w:r>
          <w:rPr>
            <w:rStyle w:val="Hyperlink"/>
          </w:rPr>
          <w:t xml:space="preserve">NFRs</w:t>
        </w:r>
      </w:hyperlink>
      <w:r>
        <w:t xml:space="preserve">, Section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Environments: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dev</w:t>
      </w:r>
      <w:r>
        <w:t xml:space="preserve"> (local),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staging</w:t>
      </w:r>
      <w:r>
        <w:t xml:space="preserve"> (a second Proxmox VM or namespace mirroring prod),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prod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CI/CD: a self-hosted runner (e.g., Gitea Actions, Woodpecker CI, or GitHub Actions with a self-hosted runner) builds Docker images on push to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main</w:t>
      </w:r>
      <w:r>
        <w:t xml:space="preserve">, runs the test suite (see </w:t>
      </w:r>
      <w:hyperlink w:history="1" w:anchor="doc_10_test_strategy">
        <w:r>
          <w:rPr>
            <w:rStyle w:val="Hyperlink"/>
          </w:rPr>
          <w:t xml:space="preserve">Test Strategy</w:t>
        </w:r>
      </w:hyperlink>
      <w:r>
        <w:t xml:space="preserve">), and deploys to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staging</w:t>
      </w:r>
      <w:r>
        <w:t xml:space="preserve"> automatically; promotion to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prod</w:t>
      </w:r>
      <w:r>
        <w:t xml:space="preserve"> is a manual, deliberate step.</w:t>
      </w:r>
    </w:p>
    <w:p>
      <w:pPr>
        <w:pStyle w:val="Heading2"/>
      </w:pPr>
      <w:r>
        <w:t xml:space="preserve">9. Open Architectural Question: Mobile/Offline</w:t>
      </w:r>
    </w:p>
    <w:p>
      <w:pPr>
        <w:spacing w:after="140"/>
      </w:pPr>
      <w:r>
        <w:t xml:space="preserve">Field crew offline support (Section 7 of the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) is undecided. If required, it will most likely be implemented as a Progressive Web App (PWA) with local-first storage (e.g., IndexedDB) and background sync against the Project Management module's Daily Log and Task endpoints, rather than a separate native app — this preserves the single-frontend-codebase principle. This is </w:t>
      </w:r>
      <w:r>
        <w:rPr>
          <w:b/>
          <w:bCs/>
        </w:rPr>
        <w:t xml:space="preserve">not</w:t>
      </w:r>
      <w:r>
        <w:t xml:space="preserve"> part of the current architecture and would require its own design pass before implementation.</w:t>
      </w:r>
    </w:p>
    <w:p>
      <w:pPr>
        <w:pStyle w:val="Heading1"/>
        <w:pageBreakBefore/>
      </w:pPr>
      <w:bookmarkStart w:name="doc_04_database_schema" w:id="4"/>
      <w:r>
        <w:t xml:space="preserve">Builders Stream — Database Schema Design</w:t>
      </w:r>
      <w:bookmarkEnd w:id="4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 ·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</w:p>
    <w:p>
      <w:pPr>
        <w:spacing w:after="140"/>
      </w:pPr>
      <w:r>
        <w:t xml:space="preserve">All primary keys are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UUID DEFAULT gen_random_uuid()</w:t>
      </w:r>
      <w:r>
        <w:t xml:space="preserve">. All tenant-owned tables carry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company_id UUID NOT NULL REFERENCES companies(id)</w:t>
      </w:r>
      <w:r>
        <w:t xml:space="preserve"> and have Row-Level Security enabled per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5. Timestamps are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TIMESTAMP WITH TIME ZONE</w:t>
      </w:r>
      <w:r>
        <w:t xml:space="preserve">.</w:t>
      </w:r>
    </w:p>
    <w:p>
      <w:pPr>
        <w:spacing w:after="140"/>
      </w:pPr>
      <w:r>
        <w:t xml:space="preserve">Tables below are grouped by module for readability, not by migration order. Some tables reference others defined in a later section (e.g.,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change_orders</w:t>
      </w:r>
      <w:r>
        <w:t xml:space="preserve"> in Section 4 references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esignatures</w:t>
      </w:r>
      <w:r>
        <w:t xml:space="preserve"> from Section 6) — actual Alembic migrations must sequence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CREATE TABLE</w:t>
      </w:r>
      <w:r>
        <w:t xml:space="preserve"> statements by foreign-key dependency, not by this document's section order.</w:t>
      </w:r>
    </w:p>
    <w:p>
      <w:pPr>
        <w:pStyle w:val="Heading2"/>
      </w:pPr>
      <w:r>
        <w:t xml:space="preserve">1. Entity-Relationship Overview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790950"/>
            <wp:effectExtent t="0" r="0" b="0" l="0"/>
            <wp:docPr id="1" name="Domain model overview showing modules and key entities" descr="Domain model overview showing modules and key entities" title="Domain model overview showing modules and key ent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718096"/>
          <w:sz w:val="18"/>
          <w:szCs w:val="18"/>
        </w:rPr>
        <w:t xml:space="preserve">Domain model overview showing modules and key entities</w:t>
      </w:r>
    </w:p>
    <w:p>
      <w:pPr>
        <w:spacing w:after="140"/>
      </w:pPr>
      <w:r>
        <w:t xml:space="preserve">The diagram above groups entities by module for readability. The full entity-relationship graph, including every foreign key, is expressed precisely in the SQL below (Sections 2–8).</w:t>
      </w:r>
    </w:p>
    <w:p>
      <w:pPr>
        <w:pStyle w:val="Heading2"/>
      </w:pPr>
      <w:r>
        <w:t xml:space="preserve">2. Users &amp; Company Management (P0)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companies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parent_id UUID REFERENCES companies(id)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is_active BOOLEAN DEFAULT TRUE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INDEX idx_companies_parent_id ON companies(parent_id);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users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email VARCHAR(255) UNIQUE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password_hash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full_name VARCHAR(255),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company_users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REFERENCES companies(id)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user_id UUID REFERENCES users(id)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role VARCHAR(50) NOT NULL CHECK (role IN ('admin','project_manager','field_crew','accountant','client')),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PRIMARY KEY (company_id, user_id)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invitations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email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role VARCHAR(50)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expires_at TIMESTAMPTZ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accepted_at TIMESTAMPTZ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-- Recursive descendant lookup, used by RLS policies across all tenant tables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OR REPLACE FUNCTION get_all_descendant_ids(company_uuid UUID)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RETURNS TABLE (child_id UUID) AS $$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WITH RECURSIVE company_tree AS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    SELECT id FROM companies WHERE id = company_uuid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    UNION ALL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    SELECT c.id FROM companies c INNER JOIN company_tree ct ON c.parent_id = ct.id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SELECT id FROM company_tree;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$$ LANGUAGE sql STABLE;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ALTER TABLE companies ENABLE ROW LEVEL SECURITY;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POLICY tenant_isolation_policy ON companies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USING (id IN (SELECT get_all_descendant_ids(current_setting('app.current_tenant')::uuid)));</w:t>
      </w:r>
    </w:p>
    <w:p>
      <w:pPr>
        <w:spacing w:after="160"/>
      </w:pPr>
    </w:p>
    <w:p>
      <w:pPr>
        <w:pStyle w:val="Heading2"/>
      </w:pPr>
      <w:r>
        <w:t xml:space="preserve">3. CRM (P1)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leads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contact_name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email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phone VARCHAR(20),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 DEFAULT 'new'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    CHECK (status IN ('new','contacted','estimating','qualified','won','lost')),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estimated_value NUMERIC(12,2),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project_type VARCHAR(100)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notes TEXT,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updated_at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INDEX idx_leads_company_status ON leads(company_id, status);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communication_logs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lead_id UUID NOT NULL REFERENCES leads(id)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author_id UUID NOT NULL REFERENCES users(id),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channel VARCHAR(20) NOT NULL CHECK (channel IN ('call','email','note','sms')),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body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-- Immutable by convention: no updated_at, no UPDATE grants at the application layer.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ALTER TABLE leads ENABLE ROW LEVEL SECURITY;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POLICY tenant_isolation_policy ON leads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USING (company_id IN (SELECT get_all_descendant_ids(current_setting('app.current_tenant')::uuid)));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ALTER TABLE communication_logs ENABLE ROW LEVEL SECURITY;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POLICY tenant_isolation_policy ON communication_logs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USING (company_id IN (SELECT get_all_descendant_ids(current_setting('app.current_tenant')::uuid)));</w:t>
      </w:r>
    </w:p>
    <w:p>
      <w:pPr>
        <w:spacing w:after="160"/>
      </w:pPr>
    </w:p>
    <w:p>
      <w:pPr>
        <w:pStyle w:val="Heading2"/>
      </w:pPr>
      <w:r>
        <w:t xml:space="preserve">4. Project Management (P1)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projects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lead_id UUID REFERENCES leads(id),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site_address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 DEFAULT 'draft'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    CHECK (status IN ('draft','pre_construction','active','suspended','completed','archived')),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projected_start_date DATE,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updated_at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phases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sequence INT NOT NULL DEFAULT 0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tasks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phase_id UUID NOT NULL REFERENCES phases(id)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assignee_id UUID REFERENCES users(id),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due_date DATE,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 DEFAULT 'open' CHECK (status IN ('open','in_progress','done')),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documents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file_name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storage_path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version INT NOT NULL DEFAULT 1,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uploaded_by UUID NOT NULL REFERENCES users(id),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daily_logs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author_id UUID NOT NULL REFERENCES users(id),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log_date DATE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weather VARCHAR(100),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notes TEXT,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-- Immutable once submitted (application-layer enforced).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change_orders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description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cost_delta NUMERIC(12,2)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schedule_impact_days INT DEFAULT 0,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 DEFAULT 'pending' CHECK (status IN ('pending','approved','rejected')),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esignature_id UUID REFERENCES esignatures(id),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-- RLS policies follow the same tenant_isolation_policy pattern as Section 3 for every table above.</w:t>
      </w:r>
    </w:p>
    <w:p>
      <w:pPr>
        <w:spacing w:after="160"/>
      </w:pPr>
    </w:p>
    <w:p>
      <w:pPr>
        <w:pStyle w:val="Heading2"/>
      </w:pPr>
      <w:r>
        <w:t xml:space="preserve">5. Estimation Engine (P1/P2)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markup_profiles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overhead_pct NUMERIC(5,2) NOT NULL DEFAULT 0,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profit_pct NUMERIC(5,2) NOT NULL DEFAULT 0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cost_catalog_items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parent_catalog_item_id UUID REFERENCES cost_catalog_items(id), -- links a branch override to its parent's item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category VARCHAR(100)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unit VARCHAR(50) NOT NULL, -- e.g., 'sqft', 'hour', 'each'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unit_rate NUMERIC(12,2)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updated_at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estimates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REFERENCES projects(id),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lead_id UUID REFERENCES leads(id),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markup_profile_id UUID NOT NULL REFERENCES markup_profiles(id),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 DEFAULT 'draft'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    CHECK (status IN ('draft','sent','approved','rejected')),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subtotal NUMERIC(12,2),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total NUMERIC(12,2),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is_snapshotted BOOLEAN NOT NULL DEFAULT FALSE, -- true once approved; line items become immutable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esignature_id UUID REFERENCES esignatures(id),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updated_at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estimate_line_items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estimate_id UUID NOT NULL REFERENCES estimates(id)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cost_catalog_item_id UUID NOT NULL REFERENCES cost_catalog_items(id),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quantity NUMERIC(12,2)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unit_rate_snapshot NUMERIC(12,2) NOT NULL, -- copied at add-time; immune to later catalog price changes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line_total NUMERIC(12,2) NOT NULL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</w:pPr>
      <w:r>
        <w:t xml:space="preserve">6. E-Signatures &amp; Compliance (Cross-Cutting)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esignatures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signer_name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signer_email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signed_at TIMESTAMPTZ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ip_address INET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signature_artifact_path TEXT NOT NULL, -- rendered signature image/hash, retained per Security &amp; Compliance doc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document_type VARCHAR(20) NOT NULL CHECK (document_type IN ('estimate','change_order'))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subcontractors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name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trade VARCHAR(100),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contact_email VARCHAR(255),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compliance_documents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subcontractor_id UUID NOT NULL REFERENCES subcontractors(id)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doc_type VARCHAR(30) NOT NULL CHECK (doc_type IN ('insurance_certificate','license')),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storage_path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expires_on DATE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INDEX idx_compliance_expiry ON compliance_documents(company_id, expires_on);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subcontractor_assignments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 ON DELETE CASCADE,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subcontractor_id UUID NOT NULL REFERENCES subcontractors(id),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assigned_by UUID NOT NULL REFERENCES users(id),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override_reason TEXT, -- populated only when assigned despite expired compliance docs (audit trail)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</w:pPr>
      <w:r>
        <w:t xml:space="preserve">7. Post-MVP Tables (Phase 3–4, Structure Only)</w:t>
      </w:r>
    </w:p>
    <w:p>
      <w:pPr>
        <w:spacing w:after="140"/>
      </w:pPr>
      <w:r>
        <w:t xml:space="preserve">These are documented now for forward compatibility of foreign keys but are not built until </w:t>
      </w:r>
      <w:hyperlink w:history="1" w:anchor="doc_09_roadmap_implementation_plan">
        <w:r>
          <w:rPr>
            <w:rStyle w:val="Hyperlink"/>
          </w:rPr>
          <w:t xml:space="preserve">Roadmap</w:t>
        </w:r>
      </w:hyperlink>
      <w:r>
        <w:t xml:space="preserve"> Phase 3–4.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subscriptions ( -- Builders Stream's own SaaS billing, distinct from client invoicing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stripe_customer_id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stripe_subscription_id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tier VARCHAR(20) NOT NULL CHECK (tier IN ('starter','pro','enterprise')),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current_period_end TIMESTAMPTZ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invoices ( -- client-facing project invoices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amount NUMERIC(12,2)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status VARCHAR(20) NOT NULL DEFAULT 'draft',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due_date DATE,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expenses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project_id UUID NOT NULL REFERENCES projects(id),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description VARCHAR(255)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amount NUMERIC(12,2)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incurred_on DATE NOT NULL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integration_connections ( -- QuickBooks / FreshBooks OAuth state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provider VARCHAR(20) NOT NULL CHECK (provider IN ('quickbooks','freshbooks')),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access_token_encrypted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refresh_token_encrypted TEXT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connected_at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</w:pPr>
      <w:r>
        <w:t xml:space="preserve">8. Audit Log (Cross-Cutting, P0)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TABLE audit_log (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id UUID PRIMARY KEY DEFAULT gen_random_uuid(),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company_id UUID NOT NULL REFERENCES companies(id),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actor_id UUID REFERENCES users(id),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action VARCHAR(100) NOT NULL, -- e.g., 'project.status_changed', 'subcontractor.assigned_with_expired_docs'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entity_type VARCHAR(50)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entity_id UUID NOT NULL,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metadata JSONB,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    created_at TIMESTAMPTZ DEFAULT now()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);</w:t>
      </w:r>
    </w:p>
    <w:p>
      <w:pPr>
        <w:pBdr>
          <w:left w:val="single" w:color="2E75B6" w:sz="4"/>
        </w:pBdr>
        <w:shd w:fill="F5F7FA" w:val="clear"/>
        <w:spacing w:after="0" w:before="0" w:line="240"/>
        <w:ind w:left="1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CREATE INDEX idx_audit_log_company_created ON audit_log(company_id, created_at DESC);</w:t>
      </w:r>
    </w:p>
    <w:p>
      <w:pPr>
        <w:spacing w:after="160"/>
      </w:pPr>
    </w:p>
    <w:p>
      <w:pPr>
        <w:pStyle w:val="Heading2"/>
      </w:pPr>
      <w:r>
        <w:t xml:space="preserve">9. Indexing &amp; RLS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company_id</w:t>
      </w:r>
      <w:r>
        <w:t xml:space="preserve"> foreign key column should be indexed; most access patterns filter or join 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policies for every table in Sections 3–6 and 8 follow the identical pattern shown in Section 3 — omitted per-table above for brevity, but is a </w:t>
      </w:r>
      <w:r>
        <w:rPr>
          <w:b/>
          <w:bCs/>
        </w:rPr>
        <w:t xml:space="preserve">mandatory</w:t>
      </w:r>
      <w:r>
        <w:t xml:space="preserve"> part of each table's migration,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estimate_line_items.unit_rate_snapshot</w:t>
      </w:r>
      <w:r>
        <w:t xml:space="preserve"> and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cost_catalog_items.unit_rate</w:t>
      </w:r>
      <w:r>
        <w:t xml:space="preserve"> are intentionally separate columns — this is what implements the historical-immutability rule from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  <w:r>
        <w:t xml:space="preserve">, Section 4.</w:t>
      </w:r>
    </w:p>
    <w:p>
      <w:pPr>
        <w:pStyle w:val="Heading1"/>
        <w:pageBreakBefore/>
      </w:pPr>
      <w:bookmarkStart w:name="doc_05_api_specification" w:id="5"/>
      <w:r>
        <w:t xml:space="preserve">Builders Stream — API Specification</w:t>
      </w:r>
      <w:bookmarkEnd w:id="5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 ·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</w:p>
    <w:p>
      <w:pPr>
        <w:spacing w:after="140"/>
      </w:pPr>
      <w:r>
        <w:t xml:space="preserve">This document describes API contracts conceptually. The authoritative, machine-readable contract is FastAPI's auto-generated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openapi.json</w:t>
      </w:r>
      <w:r>
        <w:t xml:space="preserve">, from which frontend TypeScript types are generated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2). Nothing here should be hand-transcribed into frontend types — always regenerate from the live schema.</w:t>
      </w:r>
    </w:p>
    <w:p>
      <w:pPr>
        <w:pStyle w:val="Heading2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URL:</w:t>
      </w:r>
      <w:r>
        <w:t xml:space="preserve">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https://api.buildersstream.app/v1</w:t>
      </w:r>
      <w:r>
        <w:t xml:space="preserve"> (self-hosted equivalent in non-prod environments).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Auth:</w:t>
      </w:r>
      <w:r>
        <w:t xml:space="preserve">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Authorization: Bearer &lt;jwt&gt;</w:t>
      </w:r>
      <w:r>
        <w:t xml:space="preserve"> on every request except public auth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context:</w:t>
      </w:r>
      <w:r>
        <w:t xml:space="preserve">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X-Tenant-ID: &lt;company_uuid&gt;</w:t>
      </w:r>
      <w:r>
        <w:t xml:space="preserve"> required for any user with access to more than one company; optional (inferred from JWT) for single-company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Pagination:</w:t>
      </w:r>
      <w:r>
        <w:t xml:space="preserve">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?limit=</w:t>
      </w:r>
      <w:r>
        <w:t xml:space="preserve"> (default 25, max 100) and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?cursor=</w:t>
      </w:r>
      <w:r>
        <w:t xml:space="preserve"> query params; responses include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next_cursor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Errors:</w:t>
      </w:r>
      <w:r>
        <w:t xml:space="preserve"> JSON body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{ "error": { "code": "string", "message": "string", "details": {...} } }</w:t>
      </w:r>
      <w:r>
        <w:t xml:space="preserve"> with standard HTTP status codes (400 validation, 401 unauthenticated, 403 unauthorized/wrong tenant, 404 not found, 409 illegal state transition, 422 unprocessable entity, 429 rate-limited, 5xx server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Idempotency:</w:t>
      </w:r>
      <w:r>
        <w:t xml:space="preserve"> all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POST</w:t>
      </w:r>
      <w:r>
        <w:t xml:space="preserve"> endpoints that create billable or externally-synced records accept an optional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Idempotency-Key</w:t>
      </w:r>
      <w:r>
        <w:t xml:space="preserve"> header.</w:t>
      </w:r>
    </w:p>
    <w:p>
      <w:pPr>
        <w:pStyle w:val="Heading2"/>
      </w:pPr>
      <w:r>
        <w:t xml:space="preserve">2. Users &amp; Company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842"/>
        <w:gridCol w:w="3159"/>
        <w:gridCol w:w="2999"/>
      </w:tblGrid>
      <w:tr>
        <w:trPr>
          <w:tblHeader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new company + first Admin user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 name, admin email/password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Authenticate, issue JWT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Email, password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/companies/{id}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Retrieve company detail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/companies/{id}/children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child branch company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parent implied by path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/companies/{id}/users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users in a company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Pagination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/invitations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Invite a user to a company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Email, role</w:t>
            </w:r>
          </w:p>
        </w:tc>
      </w:tr>
      <w:tr>
        <w:trPr>
          <w:tblHeader w:val="false"/>
        </w:trPr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/invitations/{token}/accept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Accept an invitation</w:t>
            </w:r>
          </w:p>
        </w:tc>
        <w:tc>
          <w:tcPr>
            <w:tcW w:type="dxa" w:w="299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 user's password (if not existing)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842"/>
        <w:gridCol w:w="1918"/>
        <w:gridCol w:w="4612"/>
      </w:tblGrid>
      <w:tr>
        <w:trPr>
          <w:tblHeader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/leads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Lead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company_id, contact_name, project_name, email, phone, project_type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/leads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Leads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Pagination,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?status=</w:t>
            </w:r>
            <w:r>
              <w:rPr>
                <w:sz w:val="20"/>
                <w:szCs w:val="20"/>
              </w:rPr>
              <w:t xml:space="preserve"> filter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/leads/{id}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Retrieve a Lead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/leads/{id}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Lead fields / status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 updatable field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/leads/{id}/communications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 a communication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channel, body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/leads/{id}/communications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9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communication history</w:t>
            </w:r>
          </w:p>
        </w:tc>
        <w:tc>
          <w:tcPr>
            <w:tcW w:type="dxa" w:w="46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Pagination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842"/>
        <w:gridCol w:w="2953"/>
        <w:gridCol w:w="3236"/>
      </w:tblGrid>
      <w:tr>
        <w:trPr>
          <w:tblHeader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Initialize a Project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client/lead_id, site_address, projected_start_date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Projects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Pagination,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?status=</w:t>
            </w:r>
            <w:r>
              <w:rPr>
                <w:sz w:val="20"/>
                <w:szCs w:val="20"/>
              </w:rPr>
              <w:t xml:space="preserve"> filter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project dashboard data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/projects/{id}/status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Advance/revert lifecycle state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 status, optional reason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/projects/{id}/phases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a Phase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sequence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/projects/{id}/tasks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a Task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due_date, assignee_id, phase_id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/tasks/{id}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task status/assignment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/projects/{id}/documents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 a Document (new version if filename matches)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File, file_name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/projects/{id}/daily-logs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Submit a Daily Log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log_date, weather, notes, photos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/projects/{id}/change-orders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Change Order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description, cost_delta, schedule_impact_days</w:t>
            </w:r>
          </w:p>
        </w:tc>
      </w:tr>
      <w:tr>
        <w:trPr>
          <w:tblHeader w:val="false"/>
        </w:trPr>
        <w:tc>
          <w:tcPr>
            <w:tcW w:type="dxa" w:w="23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/change-orders/{id}/send-for-signature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 to client for e-signature</w:t>
            </w:r>
          </w:p>
        </w:tc>
        <w:tc>
          <w:tcPr>
            <w:tcW w:type="dxa" w:w="32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signer_email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 Estimation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3"/>
        <w:gridCol w:w="842"/>
        <w:gridCol w:w="2751"/>
        <w:gridCol w:w="3344"/>
      </w:tblGrid>
      <w:tr>
        <w:trPr>
          <w:tblHeader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/catalogs/items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cost catalog items for active branch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Pagination, category filter, search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/catalogs/items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Create/override a catalog item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category, name, unit, unit_rate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/markup-profiles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Markup Profile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overhead_pct, profit_pct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/estimates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Initialize an Estimate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project_id or lead_id, markup_profile_id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/estimates/{id}/lines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Batch replace line items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Array of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{cost_catalog_item_id, quantity}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/estimates/{id}/calculate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Server-side recalculation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 (uses saved state)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/estimates/{id}/export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Queue branded PDF generation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Target email, template_id → returns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202 Accepted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/estimates/{id}/send-for-signature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 to client for e-signature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signer_email</w:t>
            </w:r>
          </w:p>
        </w:tc>
      </w:tr>
      <w:tr>
        <w:trPr>
          <w:tblHeader w:val="false"/>
        </w:trPr>
        <w:tc>
          <w:tcPr>
            <w:tcW w:type="dxa" w:w="24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/esignatures/{id}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75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Retrieve signature record (audit)</w:t>
            </w:r>
          </w:p>
        </w:tc>
        <w:tc>
          <w:tcPr>
            <w:tcW w:type="dxa" w:w="33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 Accounting &amp; Billing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4"/>
        <w:gridCol w:w="842"/>
        <w:gridCol w:w="3350"/>
        <w:gridCol w:w="2624"/>
      </w:tblGrid>
      <w:tr>
        <w:trPr>
          <w:tblHeader/>
        </w:trPr>
        <w:tc>
          <w:tcPr>
            <w:tcW w:type="dxa" w:w="25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25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/subscriptions/me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Current company's Builders Stream plan</w:t>
            </w:r>
          </w:p>
        </w:tc>
        <w:tc>
          <w:tcPr>
            <w:tcW w:type="dxa" w:w="2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/subscriptions/portal-session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Stripe Customer Portal session</w:t>
            </w:r>
          </w:p>
        </w:tc>
        <w:tc>
          <w:tcPr>
            <w:tcW w:type="dxa" w:w="2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/projects/{id}/invoices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 client-facing invoice</w:t>
            </w:r>
          </w:p>
        </w:tc>
        <w:tc>
          <w:tcPr>
            <w:tcW w:type="dxa" w:w="2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amount, due_date</w:t>
            </w:r>
          </w:p>
        </w:tc>
      </w:tr>
      <w:tr>
        <w:trPr>
          <w:tblHeader w:val="false"/>
        </w:trPr>
        <w:tc>
          <w:tcPr>
            <w:tcW w:type="dxa" w:w="25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/projects/{id}/expenses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Record an expense</w:t>
            </w:r>
          </w:p>
        </w:tc>
        <w:tc>
          <w:tcPr>
            <w:tcW w:type="dxa" w:w="2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description, amount, incurred_on</w:t>
            </w:r>
          </w:p>
        </w:tc>
      </w:tr>
      <w:tr>
        <w:trPr>
          <w:tblHeader w:val="false"/>
        </w:trPr>
        <w:tc>
          <w:tcPr>
            <w:tcW w:type="dxa" w:w="254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/reports/profitability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Company-wide project profitability report</w:t>
            </w:r>
          </w:p>
        </w:tc>
        <w:tc>
          <w:tcPr>
            <w:tcW w:type="dxa" w:w="26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 range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 External Integrations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4"/>
        <w:gridCol w:w="842"/>
        <w:gridCol w:w="2649"/>
        <w:gridCol w:w="1505"/>
      </w:tblGrid>
      <w:tr>
        <w:trPr>
          <w:tblHeader/>
        </w:trPr>
        <w:tc>
          <w:tcPr>
            <w:tcW w:type="dxa" w:w="43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43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/integrations/quickbooks/connect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Begin OAuth flow</w:t>
            </w:r>
          </w:p>
        </w:tc>
        <w:tc>
          <w:tcPr>
            <w:tcW w:type="dxa" w:w="15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 (redirects)</w:t>
            </w:r>
          </w:p>
        </w:tc>
      </w:tr>
      <w:tr>
        <w:trPr>
          <w:tblHeader w:val="false"/>
        </w:trPr>
        <w:tc>
          <w:tcPr>
            <w:tcW w:type="dxa" w:w="43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/integrations/quickbooks/callback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15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code, state</w:t>
            </w:r>
          </w:p>
        </w:tc>
      </w:tr>
      <w:tr>
        <w:trPr>
          <w:tblHeader w:val="false"/>
        </w:trPr>
        <w:tc>
          <w:tcPr>
            <w:tcW w:type="dxa" w:w="43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/integrations/{provider}/sync-status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Last sync status/errors</w:t>
            </w:r>
          </w:p>
        </w:tc>
        <w:tc>
          <w:tcPr>
            <w:tcW w:type="dxa" w:w="15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842"/>
        <w:gridCol w:w="2356"/>
        <w:gridCol w:w="3504"/>
      </w:tblGrid>
      <w:tr>
        <w:trPr>
          <w:tblHeader/>
        </w:trPr>
        <w:tc>
          <w:tcPr>
            <w:tcW w:type="dxa" w:w="26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5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</w:tr>
      <w:tr>
        <w:trPr>
          <w:tblHeader w:val="false"/>
        </w:trPr>
        <w:tc>
          <w:tcPr>
            <w:tcW w:type="dxa" w:w="26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/subcontractors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5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a Subcontractor/Vendor</w:t>
            </w:r>
          </w:p>
        </w:tc>
        <w:tc>
          <w:tcPr>
            <w:tcW w:type="dxa" w:w="3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trade, contact_email</w:t>
            </w:r>
          </w:p>
        </w:tc>
      </w:tr>
      <w:tr>
        <w:trPr>
          <w:tblHeader w:val="false"/>
        </w:trPr>
        <w:tc>
          <w:tcPr>
            <w:tcW w:type="dxa" w:w="26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/subcontractors/{id}/compliance-documents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5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Attach an insurance cert or license</w:t>
            </w:r>
          </w:p>
        </w:tc>
        <w:tc>
          <w:tcPr>
            <w:tcW w:type="dxa" w:w="3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doc_type, file, expires_on</w:t>
            </w:r>
          </w:p>
        </w:tc>
      </w:tr>
      <w:tr>
        <w:trPr>
          <w:tblHeader w:val="false"/>
        </w:trPr>
        <w:tc>
          <w:tcPr>
            <w:tcW w:type="dxa" w:w="26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/compliance/dashboard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5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Company-wide expiring/expired doc list</w:t>
            </w:r>
          </w:p>
        </w:tc>
        <w:tc>
          <w:tcPr>
            <w:tcW w:type="dxa" w:w="3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/projects/{id}/subcontractor-assignments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5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Assign a subcontractor to a project</w:t>
            </w:r>
          </w:p>
        </w:tc>
        <w:tc>
          <w:tcPr>
            <w:tcW w:type="dxa" w:w="3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subcontractor_id, override_reason (if compliance expired)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 Webhooks (Inbound)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6"/>
        <w:gridCol w:w="4194"/>
        <w:gridCol w:w="3580"/>
      </w:tblGrid>
      <w:tr>
        <w:trPr>
          <w:tblHeader/>
        </w:trPr>
        <w:tc>
          <w:tcPr>
            <w:tcW w:type="dxa" w:w="15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9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5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419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Subscription lifecycle events (payment succeeded/failed, plan changed)</w:t>
            </w:r>
          </w:p>
        </w:tc>
      </w:tr>
      <w:tr>
        <w:trPr>
          <w:tblHeader w:val="false"/>
        </w:trPr>
        <w:tc>
          <w:tcPr>
            <w:tcW w:type="dxa" w:w="15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/webhooks/esignature-provider</w:t>
            </w:r>
          </w:p>
        </w:tc>
        <w:tc>
          <w:tcPr>
            <w:tcW w:type="dxa" w:w="419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E-signature provider (if a third-party service is used instead of a built-in flow)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Signature completed/declined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10. Security Requirements on Every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route (except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/auth/*</w:t>
      </w:r>
      <w:r>
        <w:t xml:space="preserve"> and public webhook receivers) requires a valid JWT resolving to an active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company_users</w:t>
      </w:r>
      <w:r>
        <w:t xml:space="preserve"> membership with sufficient role, enforced by a FastAPI dependency, in addition to the database-level RLS policy (defense in depth — see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receivers verify provider signatures (e.g., Stripe's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Stripe-Signature</w:t>
      </w:r>
      <w:r>
        <w:t xml:space="preserve"> header) before processing.</w:t>
      </w:r>
    </w:p>
    <w:p>
      <w:pPr>
        <w:pStyle w:val="Heading1"/>
        <w:pageBreakBefore/>
      </w:pPr>
      <w:bookmarkStart w:name="doc_06_nonfunctional_requirements" w:id="6"/>
      <w:r>
        <w:t xml:space="preserve">Builders Stream — Non-Functional Requirements</w:t>
      </w:r>
      <w:bookmarkEnd w:id="6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 ·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</w:p>
    <w:p>
      <w:pPr>
        <w:pStyle w:val="Heading2"/>
      </w:pPr>
      <w:r>
        <w:t xml:space="preserve">1.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8"/>
        <w:gridCol w:w="4342"/>
      </w:tblGrid>
      <w:tr>
        <w:trPr>
          <w:tblHeader/>
        </w:trPr>
        <w:tc>
          <w:tcPr>
            <w:tcW w:type="dxa" w:w="50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50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response time (p95, non-report endpoints)</w:t>
            </w:r>
          </w:p>
        </w:tc>
        <w:tc>
          <w:tcPr>
            <w:tcW w:type="dxa" w:w="43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300ms under normal load</w:t>
            </w:r>
          </w:p>
        </w:tc>
      </w:tr>
      <w:tr>
        <w:trPr>
          <w:tblHeader w:val="false"/>
        </w:trPr>
        <w:tc>
          <w:tcPr>
            <w:tcW w:type="dxa" w:w="50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Estimate recalculation (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/estimates/{id}/calculate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1s for estimates up to 200 line items</w:t>
            </w:r>
          </w:p>
        </w:tc>
      </w:tr>
      <w:tr>
        <w:trPr>
          <w:tblHeader w:val="false"/>
        </w:trPr>
        <w:tc>
          <w:tcPr>
            <w:tcW w:type="dxa" w:w="50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PDF proposal generation</w:t>
            </w:r>
          </w:p>
        </w:tc>
        <w:tc>
          <w:tcPr>
            <w:tcW w:type="dxa" w:w="43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Asynchronous; queued job completes within 30s</w:t>
            </w:r>
          </w:p>
        </w:tc>
      </w:tr>
      <w:tr>
        <w:trPr>
          <w:tblHeader w:val="false"/>
        </w:trPr>
        <w:tc>
          <w:tcPr>
            <w:tcW w:type="dxa" w:w="50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Dashboard initial load (frontend)</w:t>
            </w:r>
          </w:p>
        </w:tc>
        <w:tc>
          <w:tcPr>
            <w:tcW w:type="dxa" w:w="43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2s time-to-interactive on broadband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support </w:t>
      </w:r>
      <w:r>
        <w:rPr>
          <w:b/>
          <w:bCs/>
        </w:rPr>
        <w:t xml:space="preserve">1,000+ company tenants</w:t>
      </w:r>
      <w:r>
        <w:t xml:space="preserve"> on shared-schema PostgreSQL without per-tenant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Indexing strategy (see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, Section 9) must keep core list/detail queries performant as row counts grow into the millions.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 for revisiting the recursive RLS lookup:</w:t>
      </w:r>
      <w:r>
        <w:t xml:space="preserve"> if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EXPLAIN ANALYZE</w:t>
      </w:r>
      <w:r>
        <w:t xml:space="preserve"> on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get_all_descendant_ids</w:t>
      </w:r>
      <w:r>
        <w:t xml:space="preserve"> shows measurable latency (baseline: establish this once real company-tree depth/fan-out data exists — do not pre-optimize before that), cache the permitted tenant-ID set in the session/JWT instead of recomputing per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 for extracting a module into its own service:</w:t>
      </w:r>
      <w:r>
        <w:t xml:space="preserve"> a module's background job queue depth or CPU usage disproportionately dominates the shared backend's resource budget, as observed via the Section 5 monitoring below — not before.</w:t>
      </w:r>
    </w:p>
    <w:p>
      <w:pPr>
        <w:pStyle w:val="Heading2"/>
      </w:pPr>
      <w:r>
        <w:t xml:space="preserve">3.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</w:t>
      </w:r>
      <w:r>
        <w:rPr>
          <w:b/>
          <w:bCs/>
        </w:rPr>
        <w:t xml:space="preserve">99.5% uptime</w:t>
      </w:r>
      <w:r>
        <w:t xml:space="preserve"> for the self-hosted production environment (roughly 3.6 hours of downtime/month budget) — a realistic target for a single-operator self-hosted deployment, not a marketing claim.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Planned maintenance windows are acceptable and should be communicated in-app in advance; they do not count against the target if scheduled outside business hours and announced.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multi-region failover in v1 — this is a single self-hosted environment. Documented as a known limitation, not a gap to silently ignore.</w:t>
      </w:r>
    </w:p>
    <w:p>
      <w:pPr>
        <w:pStyle w:val="Heading2"/>
      </w:pPr>
      <w:r>
        <w:t xml:space="preserve">4. Backup &amp; Disaster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PostgreSQL: automated daily full backups + continuous WAL archiving, retained 30 days, stored off the Proxmox host (a separate physical or cloud location).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Document/file storage: mirrored to a secondary location on the same backup cadence.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Point Objective (RPO): ≤ 24 hours (bounded by backup cadence; WAL archiving can reduce this further once implemented).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Time Objective (RTO): documented and tested via an actual restore drill before the platform accepts its first paying subscriber — not assumed to work untested.</w:t>
      </w:r>
    </w:p>
    <w:p>
      <w:pPr>
        <w:pStyle w:val="Heading2"/>
      </w:pPr>
      <w:r>
        <w:t xml:space="preserve">5.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tracking:</w:t>
      </w:r>
      <w:r>
        <w:t xml:space="preserve"> Sentry (self-hosted or cloud) on both frontend and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analytics:</w:t>
      </w:r>
      <w:r>
        <w:t xml:space="preserve"> PostHog for feature usage, funnel tracking (Lead → Won → Estimate Approved).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Infrastructure monitoring:</w:t>
      </w:r>
      <w:r>
        <w:t xml:space="preserve"> container health, CPU/memory/disk on the Proxmox host, PostgreSQL connection pool saturation, Redis/Celery queue depth — minimum viable setup is Prometheus + Grafana or an equivalent self-hosted stack, since there is no managed-cloud dashboard to rely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Alerting:</w:t>
      </w:r>
      <w:r>
        <w:t xml:space="preserve"> on-call notification (email/SMS/push) for: service down, backup failure, disk usage above 85%, queue depth exceeding a defined threshold.</w:t>
      </w:r>
    </w:p>
    <w:p>
      <w:pPr>
        <w:pStyle w:val="Heading2"/>
      </w:pPr>
      <w:r>
        <w:t xml:space="preserve">6. Self-Hosted Infrastructure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viable production footprint: one Proxmox VM (or set of VMs) capable of running the Docker Compose stack in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8 — exact CPU/RAM/storage sizing should be benchmarked against real load rather than assumed, given the existing Dell PowerEdge T620 hardware's known specs are not detailed in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Network: static IP or dynamic DNS, valid TLS certificate (Let's Encrypt via the reverse proxy), firewall rules restricting direct database/Redis access to the internal Docker network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Staging environment mirrors production topology at smaller scale, used for pre-deployment verification (see </w:t>
      </w:r>
      <w:hyperlink w:history="1" w:anchor="doc_10_test_strategy">
        <w:r>
          <w:rPr>
            <w:rStyle w:val="Hyperlink"/>
          </w:rPr>
          <w:t xml:space="preserve">Test Strategy</w:t>
        </w:r>
      </w:hyperlink>
      <w:r>
        <w:t xml:space="preserve">).</w:t>
      </w:r>
    </w:p>
    <w:p>
      <w:pPr>
        <w:pStyle w:val="Heading2"/>
      </w:pPr>
      <w:r>
        <w:t xml:space="preserve">7. Browser &amp; Device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 evergreen browsers (Chrome, Edge, Safari, Firefox — current and prior major version).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layout down to tablet width (768px) as a baseline; phone-width usability is best-effort in v1 pending the mobile/offline decision noted in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, Section 7.</w:t>
      </w:r>
    </w:p>
    <w:p>
      <w:pPr>
        <w:pStyle w:val="Heading2"/>
      </w:pPr>
      <w:r>
        <w:t xml:space="preserve">8. Data Retention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7 for retention rules specific to e-signature and audit-log records, which have longer/immutable retention requirements than general operational data.</w:t>
      </w:r>
    </w:p>
    <w:p>
      <w:pPr>
        <w:pStyle w:val="Heading1"/>
        <w:pageBreakBefore/>
      </w:pPr>
      <w:bookmarkStart w:name="doc_07_security_compliance" w:id="7"/>
      <w:r>
        <w:t xml:space="preserve">Builders Stream — Security &amp; Compliance Plan</w:t>
      </w:r>
      <w:bookmarkEnd w:id="7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 ·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  <w:r>
        <w:t xml:space="preserve">, Section 7</w:t>
      </w:r>
    </w:p>
    <w:p>
      <w:pPr>
        <w:pStyle w:val="Heading2"/>
      </w:pPr>
      <w:r>
        <w:t xml:space="preserve">1.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OIDC/JWT-based session management. Passwords hashed with a modern, salted algorithm (e.g., Argon2id) — never reversible encryption.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JWTs are short-lived (e.g., 15 minutes) with a refresh-token rotation flow; refresh tokens are revocable server-side (e.g., on logout, password change, or suspected compromise).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Multi-factor authentication (TOTP) is a requirement for the Admin role at minimum, strongly recommended for all roles — should be scoped into an early phase given the platform handles client financial/contract data.</w:t>
      </w:r>
    </w:p>
    <w:p>
      <w:pPr>
        <w:pStyle w:val="Heading2"/>
      </w:pPr>
      <w:r>
        <w:t xml:space="preserve">2. Authorization (RBAC Matrix)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"/>
        <w:gridCol w:w="842"/>
        <w:gridCol w:w="2061"/>
        <w:gridCol w:w="1845"/>
        <w:gridCol w:w="1574"/>
        <w:gridCol w:w="2006"/>
      </w:tblGrid>
      <w:tr>
        <w:trPr>
          <w:tblHeader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Crew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 &amp; Company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own company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assigned + create Daily Logs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(financial fields only)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sanitized dashboard</w:t>
            </w:r>
          </w:p>
        </w:tc>
      </w:tr>
      <w:tr>
        <w:trPr>
          <w:tblHeader w:val="false"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Estimation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Approve/reject own estimate (e-sign)</w:t>
            </w:r>
          </w:p>
        </w:tc>
      </w:tr>
      <w:tr>
        <w:trPr>
          <w:tblHeader w:val="false"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Accounting/Billing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own invoices</w:t>
            </w:r>
          </w:p>
        </w:tc>
      </w:tr>
      <w:tr>
        <w:trPr>
          <w:tblHeader w:val="false"/>
        </w:trPr>
        <w:tc>
          <w:tcPr>
            <w:tcW w:type="dxa" w:w="1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CRUD</w:t>
            </w:r>
          </w:p>
        </w:tc>
        <w:tc>
          <w:tcPr>
            <w:tcW w:type="dxa" w:w="20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+ assign (with override logging)</w:t>
            </w:r>
          </w:p>
        </w:tc>
        <w:tc>
          <w:tcPr>
            <w:tcW w:type="dxa" w:w="18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7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0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Enforced at two layers, per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5: a FastAPI dependency checks role before the request reaches business logic (fast-fail, clear error), and PostgreSQL RLS enforces tenant boundary regardless of application-layer bugs (defense in depth).</w:t>
      </w:r>
    </w:p>
    <w:p>
      <w:pPr>
        <w:pStyle w:val="Heading2"/>
      </w:pPr>
      <w:r>
        <w:t xml:space="preserve">3. 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is the authoritative isolation mechanism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5) — application-layer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WHERE company_id = ...</w:t>
      </w:r>
      <w:r>
        <w:t xml:space="preserve"> filtering is a performance/clarity convenience, never the sole safeguard.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isolation tests are a </w:t>
      </w:r>
      <w:r>
        <w:rPr>
          <w:b/>
          <w:bCs/>
        </w:rPr>
        <w:t xml:space="preserve">release gate</w:t>
      </w:r>
      <w:r>
        <w:t xml:space="preserve">, not optional: no deploy to staging/prod proceeds if the RLS test suite (see </w:t>
      </w:r>
      <w:hyperlink w:history="1" w:anchor="doc_10_test_strategy">
        <w:r>
          <w:rPr>
            <w:rStyle w:val="Hyperlink"/>
          </w:rPr>
          <w:t xml:space="preserve">Test Strategy</w:t>
        </w:r>
      </w:hyperlink>
      <w:r>
        <w:t xml:space="preserve">, Section 2) fails.</w:t>
      </w:r>
    </w:p>
    <w:p>
      <w:pPr>
        <w:pStyle w:val="Heading2"/>
      </w:pPr>
      <w:r>
        <w:t xml:space="preserve">4.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transit:</w:t>
      </w:r>
      <w:r>
        <w:t xml:space="preserve"> TLS 1.2+ enforced at the reverse proxy for all external traffic; internal Docker-network traffic between backend/DB/Redis is not exposed externally.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 rest:</w:t>
      </w:r>
      <w:r>
        <w:t xml:space="preserve"> PostgreSQL data volume encrypted at the disk/filesystem level (e.g., LUKS on the Proxmox host); third-party OAuth tokens (QuickBooks/FreshBooks — see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, Section 7) are additionally encrypted at the application layer before storage, never stored in plaintext.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Backups:</w:t>
      </w:r>
      <w:r>
        <w:t xml:space="preserve"> encrypted at rest in their off-host storage location.</w:t>
      </w:r>
    </w:p>
    <w:p>
      <w:pPr>
        <w:pStyle w:val="Heading2"/>
      </w:pPr>
      <w:r>
        <w:t xml:space="preserve">5.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state-changing action on financially or legally significant entities (Project status changes, Estimate approval, Change Order approval, Subcontractor compliance overrides, user role changes) writes an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audit_log</w:t>
      </w:r>
      <w:r>
        <w:t xml:space="preserve"> row (see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, Section 8) recording who, what, when, and relevant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entries are append-only; no application code path updates or deletes them.</w:t>
      </w:r>
    </w:p>
    <w:p>
      <w:pPr>
        <w:pStyle w:val="Heading2"/>
      </w:pPr>
      <w:r>
        <w:t xml:space="preserve">6. E-Signature Workflow</w:t>
      </w:r>
    </w:p>
    <w:p>
      <w:pPr>
        <w:spacing w:after="140"/>
      </w:pPr>
      <w:r>
        <w:t xml:space="preserve">Builders Stream implements a first-party e-signature capture for Estimates and Change Orders (see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  <w:r>
        <w:t xml:space="preserve">, US-4.5 and US-3.6), rather than assuming a third-party e-sign service — the architecture doesn't preclude integrating one later (Section 9 of the </w:t>
      </w:r>
      <w:hyperlink w:history="1" w:anchor="doc_05_api_specification">
        <w:r>
          <w:rPr>
            <w:rStyle w:val="Hyperlink"/>
          </w:rPr>
          <w:t xml:space="preserve">API Specification</w:t>
        </w:r>
      </w:hyperlink>
      <w:r>
        <w:t xml:space="preserve"> reserves a webhook route for that).</w:t>
      </w:r>
    </w:p>
    <w:p>
      <w:pPr>
        <w:spacing w:after="140"/>
      </w:pPr>
      <w:r>
        <w:t xml:space="preserve">To satisfy the intent-to-sign standard under the U.S. ESIGN Act (and equivalent state UETA statutes):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Capture: signer's typed/drawn signature, full name, email, timestamp, and originating IP address (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esignatures</w:t>
      </w:r>
      <w:r>
        <w:t xml:space="preserve"> table,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, Section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the signer with the exact document version being signed (the snapshotted Estimate or Change Order), not a live/mutable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 the signed artifact and its metadata indefinitely as a legal record (see Section 7 below) — it must never be deleted, even if the underlying Project or company is later deactivated.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is not a substitute for legal review.</w:t>
      </w:r>
      <w:r>
        <w:t xml:space="preserve"> Before this workflow is relied upon for binding contracts, it should be reviewed by counsel familiar with construction contract law in the jurisdictions Builders Stream's subscribers operate in — this document specifies the technical capture requirements, not a legal opinion on enforceability.</w:t>
      </w:r>
    </w:p>
    <w:p>
      <w:pPr>
        <w:pStyle w:val="Heading2"/>
      </w:pPr>
      <w:r>
        <w:t xml:space="preserve">7.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E-signature records (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esignatures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Indefinite / immutable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Minimum 7 years (typical construction-contract statute-of-limitations window; confirm against subscribers' jurisdictions)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Compliance documents (insurance/license)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Retained for the life of the subcontractor relationship + 7 years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General operational data (tasks, daily logs, communications)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Retained for the life of the tenant account; purged within 90 days of a company's confirmed account deletion request, except where audit/e-signature retention above overrides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Deactivated company data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deleted on deactivation (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is_active = false</w:t>
            </w:r>
            <w:r>
              <w:rPr>
                <w:sz w:val="20"/>
                <w:szCs w:val="20"/>
              </w:rPr>
              <w:t xml:space="preserve">) — only on explicit, confirmed deletion request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 Compliance Tracking Feature (Insurance/License Expiry)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Implements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  <w:r>
        <w:t xml:space="preserve"> US-7.1–US-7.3: notification cadence (30/14/7 days before expiry), compliance dashboard, and mandatory Admin-logged override to assign a subcontractor with expired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workflow/notification feature within Builders Stream, not a certification authority — the platform does not verify the authenticity of uploaded insurance certificates or licenses; that remains the subscribing company's responsibility. State this limitation clearly in-product.</w:t>
      </w:r>
    </w:p>
    <w:p>
      <w:pPr>
        <w:pStyle w:val="Heading2"/>
      </w:pPr>
      <w:r>
        <w:t xml:space="preserve">9. Incident Response (Outline)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Defined escalation path for a suspected data breach or tenant-isolation failure: immediate containment (revoke affected credentials/tokens), root-cause investigation, affected-tenant notification per applicable state breach-notification law, and a post-incident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solo-developer/self-hosted context, this is deliberately lightweight in v1 but must exist in writing (a runbook) before the platform holds real subscriber financial/contract data — not deferred indefinitely.</w:t>
      </w:r>
    </w:p>
    <w:p>
      <w:pPr>
        <w:pStyle w:val="Heading2"/>
      </w:pPr>
      <w:r>
        <w:t xml:space="preserve">10. Third-Party Data Processors</w:t>
      </w:r>
    </w:p>
    <w:p>
      <w:pPr>
        <w:spacing w:after="140"/>
      </w:pPr>
      <w:r>
        <w:t xml:space="preserve">Any subprocessor handling subscriber data (Stripe, email delivery provider, error tracking, QuickBooks/FreshBooks) must be listed in Builders Stream's Terms of Service / Privacy Policy (a legal deliverable outside the scope of this technical document, but its accuracy depends on this Security &amp; Compliance Plan staying current).</w:t>
      </w:r>
    </w:p>
    <w:p>
      <w:pPr>
        <w:pStyle w:val="Heading1"/>
        <w:pageBreakBefore/>
      </w:pPr>
      <w:bookmarkStart w:name="doc_08_pricing_subscription_model" w:id="8"/>
      <w:r>
        <w:t xml:space="preserve">Builders Stream — Pricing &amp; Subscription Model</w:t>
      </w:r>
      <w:bookmarkEnd w:id="8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 ·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  <w:r>
        <w:t xml:space="preserve">, Section 5</w:t>
      </w:r>
    </w:p>
    <w:p>
      <w:pPr>
        <w:pStyle w:val="Heading2"/>
      </w:pPr>
      <w:r>
        <w:t xml:space="preserve">1. Model: Tiered Plans by Feature + Seat Count</w:t>
      </w:r>
    </w:p>
    <w:p>
      <w:pPr>
        <w:spacing w:after="140"/>
      </w:pPr>
      <w:r>
        <w:t xml:space="preserve">Three tiers gate access by </w:t>
      </w:r>
      <w:r>
        <w:rPr>
          <w:b/>
          <w:bCs/>
        </w:rPr>
        <w:t xml:space="preserve">module availability</w:t>
      </w:r>
      <w:r>
        <w:t xml:space="preserve"> and scale cost by </w:t>
      </w:r>
      <w:r>
        <w:rPr>
          <w:b/>
          <w:bCs/>
        </w:rPr>
        <w:t xml:space="preserve">active user seats</w:t>
      </w:r>
      <w:r>
        <w:t xml:space="preserve">. This rewards companies that grow their team while keeping the entry tier affordable for a small renovation shop.</w:t>
      </w:r>
    </w:p>
    <w:p>
      <w:pPr>
        <w:pStyle w:val="Heading2"/>
      </w:pPr>
      <w:r>
        <w:t xml:space="preserve">2.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2588"/>
        <w:gridCol w:w="3771"/>
        <w:gridCol w:w="2159"/>
      </w:tblGrid>
      <w:tr>
        <w:trPr>
          <w:tblHeader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Company Size</w:t>
            </w:r>
          </w:p>
        </w:tc>
        <w:tc>
          <w:tcPr>
            <w:tcW w:type="dxa" w:w="37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Modules Included</w:t>
            </w:r>
          </w:p>
        </w:tc>
        <w:tc>
          <w:tcPr>
            <w:tcW w:type="dxa" w:w="2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Seat Model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25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Solo contractor / very small crew</w:t>
            </w:r>
          </w:p>
        </w:tc>
        <w:tc>
          <w:tcPr>
            <w:tcW w:type="dxa" w:w="37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 &amp; Company, CRM, Project Management</w:t>
            </w:r>
          </w:p>
        </w:tc>
        <w:tc>
          <w:tcPr>
            <w:tcW w:type="dxa" w:w="2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Included seats: small fixed number; overage priced per seat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25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Small/medium company (the primary target for the 1,000-subscriber goal)</w:t>
            </w:r>
          </w:p>
        </w:tc>
        <w:tc>
          <w:tcPr>
            <w:tcW w:type="dxa" w:w="37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Everything in Starter + Estimation Engine + Compliance Tracking</w:t>
            </w:r>
          </w:p>
        </w:tc>
        <w:tc>
          <w:tcPr>
            <w:tcW w:type="dxa" w:w="2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Included seats: moderate; overage priced per seat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Multi-branch companies using the nested company hierarchy</w:t>
            </w:r>
          </w:p>
        </w:tc>
        <w:tc>
          <w:tcPr>
            <w:tcW w:type="dxa" w:w="37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Everything in Pro + Accounting/Billing + QuickBooks/FreshBooks Integration + nested child-branch support</w:t>
            </w:r>
          </w:p>
        </w:tc>
        <w:tc>
          <w:tcPr>
            <w:tcW w:type="dxa" w:w="215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 seat pricing; volume discount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Note on exact dollar amounts:</w:t>
      </w:r>
      <w:r>
        <w:t xml:space="preserve"> this document intentionally does not invent per-tier prices. Pricing should be set from real market research (competitor pricing, willingness-to-pay interviews with target contractors) before launch, and is tracked as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 Open Question #2. The structure above (what's gated by tier) is the design decision this document commits to; the numbers are a pending business decision, not a technical one.</w:t>
      </w:r>
    </w:p>
    <w:p>
      <w:pPr>
        <w:pStyle w:val="Heading2"/>
      </w:pPr>
      <w:r>
        <w:t xml:space="preserve">3. Feature Gating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0"/>
        <w:gridCol w:w="910"/>
        <w:gridCol w:w="2340"/>
        <w:gridCol w:w="1300"/>
      </w:tblGrid>
      <w:tr>
        <w:trPr>
          <w:tblHeader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 &amp; Company Management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Estimation Engine (incl. e-signature)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Compliance Tracking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Accounting &amp; Billing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QuickBooks / FreshBooks Integration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Nested child-branch companies</w:t>
            </w:r>
          </w:p>
        </w:tc>
        <w:tc>
          <w:tcPr>
            <w:tcW w:type="dxa" w:w="9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branch only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Enforcement happens server-side: the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TenantMiddleware</w:t>
      </w:r>
      <w:r>
        <w:t xml:space="preserve">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5) resolves the active company's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subscriptions.tier</w:t>
      </w:r>
      <w:r>
        <w:t xml:space="preserve"> and the relevant module's FastAPI dependency rejects requests with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403</w:t>
      </w:r>
      <w:r>
        <w:t xml:space="preserve"> if the tier doesn't include that module — never enforced only in the frontend UI.</w:t>
      </w:r>
    </w:p>
    <w:p>
      <w:pPr>
        <w:pStyle w:val="Heading2"/>
      </w:pPr>
      <w:r>
        <w:t xml:space="preserve">4. Stripe Implementation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tier is a Stripe </w:t>
      </w:r>
      <w:r>
        <w:rPr>
          <w:b/>
          <w:bCs/>
        </w:rPr>
        <w:t xml:space="preserve">Product</w:t>
      </w:r>
      <w:r>
        <w:t xml:space="preserve"> with a </w:t>
      </w:r>
      <w:r>
        <w:rPr>
          <w:b/>
          <w:bCs/>
        </w:rPr>
        <w:t xml:space="preserve">Price</w:t>
      </w:r>
      <w:r>
        <w:t xml:space="preserve"> (monthly and annual variants).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 overage is modeled as a Stripe </w:t>
      </w:r>
      <w:r>
        <w:rPr>
          <w:b/>
          <w:bCs/>
        </w:rPr>
        <w:t xml:space="preserve">metered/usage-based</w:t>
      </w:r>
      <w:r>
        <w:t xml:space="preserve"> line item on the subscription, incremented when a company's active user count exceeds the tier's included seats.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subscriptions</w:t>
      </w:r>
      <w:r>
        <w:t xml:space="preserve"> table (see </w:t>
      </w:r>
      <w:hyperlink w:history="1" w:anchor="doc_04_database_schema">
        <w:r>
          <w:rPr>
            <w:rStyle w:val="Hyperlink"/>
          </w:rPr>
          <w:t xml:space="preserve">Database Schema</w:t>
        </w:r>
      </w:hyperlink>
      <w:r>
        <w:t xml:space="preserve">, Section 7) stores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stripe_customer_id</w:t>
      </w:r>
      <w:r>
        <w:t xml:space="preserve">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stripe_subscription_id</w:t>
      </w:r>
      <w:r>
        <w:t xml:space="preserve">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tier</w:t>
      </w:r>
      <w:r>
        <w:t xml:space="preserve">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status</w:t>
      </w:r>
      <w:r>
        <w:t xml:space="preserve">, and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current_period_end</w:t>
      </w:r>
      <w:r>
        <w:t xml:space="preserve">, kept in sync via the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/webhooks/stripe</w:t>
      </w:r>
      <w:r>
        <w:t xml:space="preserve"> endpoint (</w:t>
      </w:r>
      <w:hyperlink w:history="1" w:anchor="doc_05_api_specification">
        <w:r>
          <w:rPr>
            <w:rStyle w:val="Hyperlink"/>
          </w:rPr>
          <w:t xml:space="preserve">API Specification</w:t>
        </w:r>
      </w:hyperlink>
      <w:r>
        <w:t xml:space="preserve">, Section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changes (upgrade/downgrade) and cancellations are handled through Stripe's Customer Portal rather than custom UI, per the original architectural decision to avoid building billing logic from scratch.</w:t>
      </w:r>
    </w:p>
    <w:p>
      <w:pPr>
        <w:pStyle w:val="Heading2"/>
      </w:pPr>
      <w:r>
        <w:t xml:space="preserve">5. Trial &amp; Conversion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companies start on a time-boxed trial (e.g., 14 days) with </w:t>
      </w:r>
      <w:r>
        <w:rPr>
          <w:b/>
          <w:bCs/>
        </w:rPr>
        <w:t xml:space="preserve">Pro</w:t>
      </w:r>
      <w:r>
        <w:t xml:space="preserve">-tier feature access, to let a prospective subscriber experience the Estimation Engine — the feature most likely to demonstrate value over their current spreadsheet-based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trial expiry without a payment method, the account downgrades to a read-only state (data preserved, write access blocked) rather than being deleted — consistent with the data retention policy in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7.</w:t>
      </w:r>
    </w:p>
    <w:p>
      <w:pPr>
        <w:pStyle w:val="Heading2"/>
      </w:pPr>
      <w:r>
        <w:t xml:space="preserve">6. Upgrade / Downgrade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Upgrades take effect immediately (proration handled by Stripe).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Downgrades that would remove access to a module currently in use (e.g., Enterprise → Pro while QuickBooks integration is active) surface a confirmation warning listing exactly what will become inaccessible, and take effect at the end of the current billing period rather than immediately.</w:t>
      </w:r>
    </w:p>
    <w:p>
      <w:pPr>
        <w:pStyle w:val="Heading1"/>
        <w:pageBreakBefore/>
      </w:pPr>
      <w:bookmarkStart w:name="doc_09_roadmap_implementation_plan" w:id="9"/>
      <w:r>
        <w:t xml:space="preserve">Builders Stream — Roadmap &amp; Implementation Plan</w:t>
      </w:r>
      <w:bookmarkEnd w:id="9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 · </w:t>
      </w:r>
      <w:hyperlink w:history="1" w:anchor="doc_02_functional_requirements">
        <w:r>
          <w:rPr>
            <w:rStyle w:val="Hyperlink"/>
          </w:rPr>
          <w:t xml:space="preserve">Functional Requirements</w:t>
        </w:r>
      </w:hyperlink>
    </w:p>
    <w:p>
      <w:pPr>
        <w:spacing w:after="140"/>
      </w:pPr>
      <w:r>
        <w:t xml:space="preserve">Pacing assumption: solo developer, no fixed external deadline. Phases are ordered by </w:t>
      </w:r>
      <w:r>
        <w:rPr>
          <w:b/>
          <w:bCs/>
        </w:rPr>
        <w:t xml:space="preserve">dependency</w:t>
      </w:r>
      <w:r>
        <w:t xml:space="preserve">, not by calendar — each phase should be substantially complete (including its tests, per </w:t>
      </w:r>
      <w:hyperlink w:history="1" w:anchor="doc_10_test_strategy">
        <w:r>
          <w:rPr>
            <w:rStyle w:val="Hyperlink"/>
          </w:rPr>
          <w:t xml:space="preserve">Test Strategy</w:t>
        </w:r>
      </w:hyperlink>
      <w:r>
        <w:t xml:space="preserve">) before the next begins, since later modules assume earlier ones exist and work correctly.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1809750"/>
            <wp:effectExtent t="0" r="0" b="0" l="0"/>
            <wp:docPr id="1" name="Implementation roadmap phases 0 through 5" descr="Implementation roadmap phases 0 through 5" title="Implementation roadmap phases 0 throug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718096"/>
          <w:sz w:val="18"/>
          <w:szCs w:val="18"/>
        </w:rPr>
        <w:t xml:space="preserve">Implementation roadmap phases 0 through 5</w:t>
      </w:r>
    </w:p>
    <w:p>
      <w:pPr>
        <w:pStyle w:val="Heading2"/>
      </w:pPr>
      <w:r>
        <w:t xml:space="preserve">Phase 0 — Foundation (Pre-MVP)</w:t>
      </w:r>
    </w:p>
    <w:p>
      <w:pPr>
        <w:spacing w:after="140"/>
      </w:pPr>
      <w:r>
        <w:rPr>
          <w:b/>
          <w:bCs/>
        </w:rPr>
        <w:t xml:space="preserve">Goal:</w:t>
      </w:r>
      <w:r>
        <w:t xml:space="preserve"> nothing else can be built safely without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Dockerized dev environment (PostgreSQL, Redis, backend, frontend containers) per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companies</w:t>
      </w:r>
      <w:r>
        <w:t xml:space="preserve"> /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users</w:t>
      </w:r>
      <w:r>
        <w:t xml:space="preserve"> /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company_users</w:t>
      </w:r>
      <w:r>
        <w:t xml:space="preserve"> schema + nested-hierarchy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parent_id</w:t>
      </w:r>
      <w:r>
        <w:t xml:space="preserve"> +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get_all_descendant_ids()</w:t>
      </w:r>
      <w:r>
        <w:t xml:space="preserve">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policies enabled and proven on the Users &amp; Company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TenantMiddleware</w:t>
      </w:r>
      <w:r>
        <w:t xml:space="preserve">: JWT validation →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contextvars</w:t>
      </w:r>
      <w:r>
        <w:t xml:space="preserve"> →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SET LOCAL app.current_tenant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registration, login, invitations.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table and a working write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criteria:</w:t>
      </w:r>
      <w:r>
        <w:t xml:space="preserve"> automated RLS isolation tests (two companies, verify zero cross-visibility) pass in CI.</w:t>
      </w:r>
    </w:p>
    <w:p>
      <w:pPr>
        <w:pStyle w:val="Heading2"/>
      </w:pPr>
      <w:r>
        <w:t xml:space="preserve">Phase 1 — CRM &amp; Project Management (MVP core)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CRM: Lead CRUD, pipeline status transitions, communication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Management: Project CRUD/lifecycle state machine, Phases, Tasks, Documents, Daily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LEAD_WON</w:t>
      </w:r>
      <w:r>
        <w:t xml:space="preserve"> → draft Project event wiring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Client-facing read-only project dashboard (sanitized view, RBAC-scoped).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criteria:</w:t>
      </w:r>
      <w:r>
        <w:t xml:space="preserve"> a Lead can be created, moved to Won, and land as a Draft Project with client details carried over, end-to-end, with tests.</w:t>
      </w:r>
    </w:p>
    <w:p>
      <w:pPr>
        <w:pStyle w:val="Heading2"/>
      </w:pPr>
      <w:r>
        <w:t xml:space="preserve">Phase 2 — Estimation Engine + E-Signature (MVP completion)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Catalog, Markup Profiles (with parent/child override inheritance).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creation, line items, server-side calculation pipeline (fixed-point decimal, fixed order of operations).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export as an async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E-signature capture flow for Estimate approval (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esignatures</w:t>
      </w:r>
      <w:r>
        <w:t xml:space="preserve"> table,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Order creation + e-signature approval on active Projects (reuses the e-signature capability built for Estimates).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immutability / snapshotting on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ESTIMATE_APPROVED</w:t>
      </w:r>
      <w:r>
        <w:t xml:space="preserve"> event published (consumed starting in Phase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criteria: this is the MVP launch bar.</w:t>
      </w:r>
      <w:r>
        <w:t xml:space="preserve"> Users/Company + CRM + Project Management + Estimation Engine (including e-signature) are feature-complete, tested, and deployed to production. This matches the MVP scope defined in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, Section 6.</w:t>
      </w:r>
    </w:p>
    <w:p>
      <w:pPr>
        <w:pStyle w:val="Heading2"/>
      </w:pPr>
      <w:r>
        <w:t xml:space="preserve">Phase 3 — Compliance Tracking + Accounting/Billing (Post-MVP)</w:t>
      </w:r>
    </w:p>
    <w:p>
      <w:pPr>
        <w:spacing w:after="140"/>
      </w:pPr>
      <w:r>
        <w:t xml:space="preserve">Grouped together because both are needed before Enterprise-tier subscribers can be onboarded (see </w:t>
      </w:r>
      <w:hyperlink w:history="1" w:anchor="doc_08_pricing_subscription_model">
        <w:r>
          <w:rPr>
            <w:rStyle w:val="Hyperlink"/>
          </w:rPr>
          <w:t xml:space="preserve">Pricing Model</w:t>
        </w:r>
      </w:hyperlink>
      <w:r>
        <w:t xml:space="preserve">, Section 3), and Billing's invoice generation is the natural consumer of the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ESTIMATE_APPROVED</w:t>
      </w:r>
      <w:r>
        <w:t xml:space="preserve"> event from Phase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Subcontractor/Vendor records, compliance document upload + expiry notifications, compliance dashboard, assignment override + audit logging.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Builders Stream's own Stripe subscription billing (tiers, seats, Customer Portal, webhook sync).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Client-facing Project invoicing and Expense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Profitability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criteria:</w:t>
      </w:r>
      <w:r>
        <w:t xml:space="preserve"> a company can subscribe/pay via Stripe, and an approved Estimate flows into a draft client invoice automatically.</w:t>
      </w:r>
    </w:p>
    <w:p>
      <w:pPr>
        <w:pStyle w:val="Heading2"/>
      </w:pPr>
      <w:r>
        <w:t xml:space="preserve">Phase 4 — External Integrations (Post-MVP)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QuickBooks OAuth connect + async sync of invoices/expenses.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FreshBooks OAuth connect + async sync (same pattern).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status visibility and retry-on-failure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criteria:</w:t>
      </w:r>
      <w:r>
        <w:t xml:space="preserve"> Enterprise-tier companies can connect and see a successful, monitored sync.</w:t>
      </w:r>
    </w:p>
    <w:p>
      <w:pPr>
        <w:pStyle w:val="Heading2"/>
      </w:pPr>
      <w:r>
        <w:t xml:space="preserve">Phase 5 — Open Items (Scope TBD, Not Yet Scheduled)</w:t>
      </w:r>
    </w:p>
    <w:p>
      <w:pPr>
        <w:spacing w:after="140"/>
      </w:pPr>
      <w:r>
        <w:t xml:space="preserve">These are explicitly deferred pending decisions noted in </w:t>
      </w:r>
      <w:hyperlink w:history="1" w:anchor="doc_01_prd">
        <w:r>
          <w:rPr>
            <w:rStyle w:val="Hyperlink"/>
          </w:rPr>
          <w:t xml:space="preserve">PRD</w:t>
        </w:r>
      </w:hyperlink>
      <w:r>
        <w:t xml:space="preserve">, Section 8, and are </w:t>
      </w:r>
      <w:r>
        <w:rPr>
          <w:b/>
          <w:bCs/>
        </w:rPr>
        <w:t xml:space="preserve">not</w:t>
      </w:r>
      <w:r>
        <w:t xml:space="preserve"> part of any committed phase above: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Offline-capable mobile/PWA support for field crews.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blueprint takeoff for the Estimation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 / multi-language support.</w:t>
      </w:r>
    </w:p>
    <w:p>
      <w:pPr>
        <w:pStyle w:val="Heading2"/>
      </w:pPr>
      <w:r>
        <w:t xml:space="preserve">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6848"/>
        <w:gridCol w:w="1670"/>
      </w:tblGrid>
      <w:tr>
        <w:trPr>
          <w:tblHeader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Delivers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Multi-tenant foundation, auth, RLS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CRM + Project Management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0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Estimation + e-signature — </w:t>
            </w:r>
            <w:r>
              <w:rPr>
                <w:b/>
                <w:bCs/>
                <w:sz w:val="20"/>
                <w:szCs w:val="20"/>
              </w:rPr>
              <w:t xml:space="preserve">MVP launch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Compliance + Billing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QuickBooks/FreshBooks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8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8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 items (unscheduled)</w:t>
            </w:r>
          </w:p>
        </w:tc>
        <w:tc>
          <w:tcPr>
            <w:tcW w:type="dxa" w:w="167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doc_10_test_strategy" w:id="10"/>
      <w:r>
        <w:t xml:space="preserve">Builders Stream — Test Strategy</w:t>
      </w:r>
      <w:bookmarkEnd w:id="10"/>
    </w:p>
    <w:p>
      <w:pPr>
        <w:spacing w:after="140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2026-07-07</w:t>
      </w:r>
    </w:p>
    <w:p>
      <w:pPr>
        <w:spacing w:after="140"/>
      </w:pPr>
      <w:r>
        <w:rPr>
          <w:b/>
          <w:bCs/>
        </w:rPr>
        <w:t xml:space="preserve">Related:</w:t>
      </w:r>
      <w:r>
        <w:t xml:space="preserve">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 ·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 · </w:t>
      </w:r>
      <w:hyperlink w:history="1" w:anchor="doc_09_roadmap_implementation_plan">
        <w:r>
          <w:rPr>
            <w:rStyle w:val="Hyperlink"/>
          </w:rPr>
          <w:t xml:space="preserve">Roadmap</w:t>
        </w:r>
      </w:hyperlink>
    </w:p>
    <w:p>
      <w:pPr>
        <w:pStyle w:val="Heading2"/>
      </w:pPr>
      <w:r>
        <w:t xml:space="preserve">1.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469"/>
        <w:gridCol w:w="2989"/>
      </w:tblGrid>
      <w:tr>
        <w:trPr>
          <w:tblHeader/>
        </w:trPr>
        <w:tc>
          <w:tcPr>
            <w:tcW w:type="dxa" w:w="9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4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8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54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Estimation calculation engine, state machines (Project/Lead/Estimate status), Pydantic validation</w:t>
            </w:r>
          </w:p>
        </w:tc>
        <w:tc>
          <w:tcPr>
            <w:tcW w:type="dxa" w:w="298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pytest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54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contract per module, database RLS enforcement, event bus wiring</w:t>
            </w:r>
          </w:p>
        </w:tc>
        <w:tc>
          <w:tcPr>
            <w:tcW w:type="dxa" w:w="298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pytest + a real PostgreSQL test database (not mocked)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End-to-End</w:t>
            </w:r>
          </w:p>
        </w:tc>
        <w:tc>
          <w:tcPr>
            <w:tcW w:type="dxa" w:w="54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user flows through the Next.js frontend against a running backend</w:t>
            </w:r>
          </w:p>
        </w:tc>
        <w:tc>
          <w:tcPr>
            <w:tcW w:type="dxa" w:w="298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Playwright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Load/Performance</w:t>
            </w:r>
          </w:p>
        </w:tc>
        <w:tc>
          <w:tcPr>
            <w:tcW w:type="dxa" w:w="546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Multi-tenant query performance at scale</w:t>
            </w:r>
          </w:p>
        </w:tc>
        <w:tc>
          <w:tcPr>
            <w:tcW w:type="dxa" w:w="298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k6 or Locust against a seeded staging dataset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Business logic (estimation math, state transitions, RLS enforcement) is verified against a real database and real calculations — not mocked — per this project's standing practice of testing against real dependencies rather than mocks that can silently drift from production behavior.</w:t>
      </w:r>
    </w:p>
    <w:p>
      <w:pPr>
        <w:pStyle w:val="Heading2"/>
      </w:pPr>
      <w:r>
        <w:t xml:space="preserve">2. Tenant Isolation Testing (Release Gate)</w:t>
      </w:r>
    </w:p>
    <w:p>
      <w:pPr>
        <w:spacing w:after="140"/>
      </w:pPr>
      <w:r>
        <w:t xml:space="preserve">This is the single most important test category given the shared-schema multi-tenancy model (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5) — a failure here is a data breach, not a bug.</w:t>
      </w:r>
    </w:p>
    <w:p>
      <w:pPr>
        <w:spacing w:after="140"/>
      </w:pPr>
      <w:r>
        <w:rPr>
          <w:b/>
          <w:bCs/>
        </w:rPr>
        <w:t xml:space="preserve">Required test cases, run in CI on every merge to `main`: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Seed two unrelated companies (A and B) each with Leads, Projects, and Estimates.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Authenticate as a user in Company A; attempt to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PATCH</w:t>
      </w:r>
      <w:r>
        <w:t xml:space="preserve">/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DELETE</w:t>
      </w:r>
      <w:r>
        <w:t xml:space="preserve"> every entity type by Company B's IDs directly (not just list endpoints — direct ID access is the common bypass). Assert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404</w:t>
      </w:r>
      <w:r>
        <w:t xml:space="preserve">/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403</w:t>
      </w:r>
      <w:r>
        <w:t xml:space="preserve"> on every attempt, never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200</w:t>
      </w:r>
      <w:r>
        <w:t xml:space="preserve"> with B's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Seed a parent company P with child branches C1 and C2. Authenticate as a P-level user; assert visibility into both C1 and C2's data. Authenticate as a C1 user; assert </w:t>
      </w:r>
      <w:r>
        <w:rPr>
          <w:b/>
          <w:bCs/>
        </w:rPr>
        <w:t xml:space="preserve">no</w:t>
      </w:r>
      <w:r>
        <w:t xml:space="preserve"> visibility into C2's data (siblings must stay isolated even though both share a parent).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Deliberately omit the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X-Tenant-ID</w:t>
      </w:r>
      <w:r>
        <w:t xml:space="preserve"> header / use a malformed one; assert the request is rejected rather than silently defaulting to some other tenant.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regression test that runs a query with RLS temporarily disabled (in test setup only) to confirm the policy itself — not just application code — is what blocks cross-tenant access; this catches the case where a policy is accidentally dropped or misconfigured in a migration.</w:t>
      </w:r>
    </w:p>
    <w:p>
      <w:pPr>
        <w:spacing w:after="140"/>
      </w:pPr>
      <w:r>
        <w:rPr>
          <w:b/>
          <w:bCs/>
        </w:rPr>
        <w:t xml:space="preserve">This suite failing blocks deployment to staging and production</w:t>
      </w:r>
      <w:r>
        <w:t xml:space="preserve">, per </w:t>
      </w:r>
      <w:hyperlink w:history="1" w:anchor="doc_07_security_compliance">
        <w:r>
          <w:rPr>
            <w:rStyle w:val="Hyperlink"/>
          </w:rPr>
          <w:t xml:space="preserve">Security &amp; Compliance</w:t>
        </w:r>
      </w:hyperlink>
      <w:r>
        <w:t xml:space="preserve">, Section 3.</w:t>
      </w:r>
    </w:p>
    <w:p>
      <w:pPr>
        <w:pStyle w:val="Heading2"/>
      </w:pPr>
      <w:r>
        <w:t xml:space="preserve">3. Estimation Engine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fixed calculation order (quantity × rate → category subtotal → overhead → profit → tax) against hand-computed expected values for representative estimates.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all monetary math uses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decimal</w:t>
      </w:r>
      <w:r>
        <w:t xml:space="preserve">, not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float</w:t>
      </w:r>
      <w:r>
        <w:t xml:space="preserve"> — a test that would catch a regression back to floating-point rounding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historical immutability: change a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cost_catalog_items.unit_rate</w:t>
      </w:r>
      <w:r>
        <w:t xml:space="preserve"> after an Estimate is approved and assert the approved Estimate's totals are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parent/child catalog override precedence.</w:t>
      </w:r>
    </w:p>
    <w:p>
      <w:pPr>
        <w:pStyle w:val="Heading2"/>
      </w:pPr>
      <w:r>
        <w:t xml:space="preserve">4. State Machine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Project, Lead, and Estimate status fields: table-driven tests asserting every *legal* transition succeeds and every *illegal* transition (e.g., Project Draft → Completed) is rejected with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409</w:t>
      </w:r>
      <w:r>
        <w:t xml:space="preserve">.</w:t>
      </w:r>
    </w:p>
    <w:p>
      <w:pPr>
        <w:pStyle w:val="Heading2"/>
      </w:pPr>
      <w:r>
        <w:t xml:space="preserve">5. E-Signature &amp; Compliance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an Estimate/Change Order cannot be approved without a captured signer name, email, timestamp, and 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exact document version presented to the signer matches the snapshotted version stored (no live-document substitution bug).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 Subcontractor with an expired compliance document cannot be assigned to a Project without an Admin role and a recorded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override_reason</w:t>
      </w:r>
      <w:r>
        <w:t xml:space="preserve">, and that the attempt is written to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audit_log</w:t>
      </w:r>
      <w:r>
        <w:t xml:space="preserve">.</w:t>
      </w:r>
    </w:p>
    <w:p>
      <w:pPr>
        <w:pStyle w:val="Heading2"/>
      </w:pPr>
      <w:r>
        <w:t xml:space="preserve">6. Third-Party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Stripe:</w:t>
      </w:r>
      <w:r>
        <w:t xml:space="preserve"> test-mode API keys and Stripe CLI's webhook forwarding for local/staging testing of subscription lifecycle events; verify idempotent webhook handling (Stripe can redeliver events).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QuickBooks/FreshBooks:</w:t>
      </w:r>
      <w:r>
        <w:t xml:space="preserve"> sandbox accounts for both providers; verify sync retries on transient failure and that a sync failure never blocks the originating Builders Stream action (invoice/expense creation succeeds even if the downstream sync later fails and is retried).</w:t>
      </w:r>
    </w:p>
    <w:p>
      <w:pPr>
        <w:pStyle w:val="Heading2"/>
      </w:pPr>
      <w:r>
        <w:t xml:space="preserve">7. Performance/Load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the 1,000-subscriber target, run a load test against a seeded dataset simulating that scale (companies, nested branches, leads, projects, estimates) to validate the performance targets in </w:t>
      </w:r>
      <w:hyperlink w:history="1" w:anchor="doc_06_nonfunctional_requirements">
        <w:r>
          <w:rPr>
            <w:rStyle w:val="Hyperlink"/>
          </w:rPr>
          <w:t xml:space="preserve">NFRs</w:t>
        </w:r>
      </w:hyperlink>
      <w:r>
        <w:t xml:space="preserve">, Section 1, and to establish the actual baseline for the RLS-caching trigger in </w:t>
      </w:r>
      <w:hyperlink w:history="1" w:anchor="doc_06_nonfunctional_requirements">
        <w:r>
          <w:rPr>
            <w:rStyle w:val="Hyperlink"/>
          </w:rPr>
          <w:t xml:space="preserve">NFRs</w:t>
        </w:r>
      </w:hyperlink>
      <w:r>
        <w:t xml:space="preserve">, Section 2 — not skipped in favor of assuming it'll be fine.</w:t>
      </w:r>
    </w:p>
    <w:p>
      <w:pPr>
        <w:pStyle w:val="Heading2"/>
      </w:pPr>
      <w:r>
        <w:t xml:space="preserve">8. CI Gates</w:t>
      </w:r>
    </w:p>
    <w:p>
      <w:pPr>
        <w:spacing w:after="140"/>
      </w:pPr>
      <w:r>
        <w:t xml:space="preserve">A change cannot merge to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main</w:t>
      </w:r>
      <w:r>
        <w:t xml:space="preserve"> unless: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 + integration test suites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Tenant isolation suite (Section 2) 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Linting/type-checking passes (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mypy</w:t>
      </w:r>
      <w:r>
        <w:t xml:space="preserve">/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ruff</w:t>
      </w:r>
      <w:r>
        <w:t xml:space="preserve"> for backend,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tsc</w:t>
      </w:r>
      <w:r>
        <w:t xml:space="preserve">/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eslint</w:t>
      </w:r>
      <w:r>
        <w:t xml:space="preserve"> for frontend).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OpenAPI schema diff is reviewed when backend contracts change, to catch accidental breaking changes to the frontend's generated types (see </w:t>
      </w:r>
      <w:hyperlink w:history="1" w:anchor="doc_03_technical_architecture">
        <w:r>
          <w:rPr>
            <w:rStyle w:val="Hyperlink"/>
          </w:rPr>
          <w:t xml:space="preserve">Technical Architecture</w:t>
        </w:r>
      </w:hyperlink>
      <w:r>
        <w:t xml:space="preserve">, Section 2).</w:t>
      </w:r>
    </w:p>
    <w:p>
      <w:pPr>
        <w:spacing w:after="140"/>
      </w:pPr>
      <w:r>
        <w:t xml:space="preserve">E2E (Playwright) and load tests run on a scheduled/pre-release basis rather than on every commit, given their runtime cost, but are mandatory before promoting a Phase's exit criteria (see </w:t>
      </w:r>
      <w:hyperlink w:history="1" w:anchor="doc_09_roadmap_implementation_plan">
        <w:r>
          <w:rPr>
            <w:rStyle w:val="Hyperlink"/>
          </w:rPr>
          <w:t xml:space="preserve">Roadmap</w:t>
        </w:r>
      </w:hyperlink>
      <w:r>
        <w:t xml:space="preserve">) to production.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EC0"/>
        <w:sz w:val="16"/>
        <w:szCs w:val="16"/>
      </w:rPr>
      <w:t xml:space="preserve">Page </w:t>
    </w:r>
    <w:r>
      <w:rPr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0AEC0"/>
        <w:sz w:val="16"/>
        <w:szCs w:val="16"/>
      </w:rPr>
      <w:t xml:space="preserve"> of </w:t>
    </w:r>
    <w:r>
      <w:rPr>
        <w:color w:val="A0AEC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EC0"/>
        <w:sz w:val="16"/>
        <w:szCs w:val="16"/>
      </w:rPr>
      <w:t xml:space="preserve">Builders Stream — Software Development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40" w:before="12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040d5384ba06e3b98df2008ef926ca1a351240.png"/><Relationship Id="rId10" Type="http://schemas.openxmlformats.org/officeDocument/2006/relationships/image" Target="media/3b85056f0f9d220621e0e7a948260180a5e0643a.png"/><Relationship Id="rId11" Type="http://schemas.openxmlformats.org/officeDocument/2006/relationships/image" Target="media/54c7febd4fdc07bcc3ceaeac873f1ade10e598cd.png"/><Relationship Id="rId12" Type="http://schemas.openxmlformats.org/officeDocument/2006/relationships/image" Target="media/bff02785897e2a7f1bc9ffecd7ad845e766d40fd.png"/><Relationship Id="rId13" Type="http://schemas.openxmlformats.org/officeDocument/2006/relationships/image" Target="media/03b17c2b631d5c97c041ba1ce1019cd47c72ee4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2026-07-07T22:00:38.276Z</dcterms:created>
  <dcterms:modified xsi:type="dcterms:W3CDTF">2026-07-07T22:00:38.277Z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