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55" w:rsidRPr="008F409F" w:rsidRDefault="00784F55" w:rsidP="00784F55">
      <w:pPr>
        <w:pStyle w:val="Heading1"/>
      </w:pPr>
      <w:bookmarkStart w:id="0" w:name="_Toc323887137"/>
      <w:r>
        <w:t>Lab Exercise 5: Association Rules</w:t>
      </w:r>
      <w:bookmarkEnd w:id="0"/>
    </w:p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784F55" w:rsidRPr="000B2C63" w:rsidTr="00E96C08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784F55" w:rsidRPr="000B2C63" w:rsidRDefault="00784F55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sz w:val="20"/>
              </w:rPr>
              <w:br w:type="page"/>
            </w:r>
            <w:r w:rsidRPr="000B2C63">
              <w:rPr>
                <w:rFonts w:ascii="MetaNormalLF-Roman" w:hAnsi="MetaNormalLF-Roman"/>
                <w:b/>
                <w:sz w:val="20"/>
              </w:rPr>
              <w:t>Purpose:</w:t>
            </w:r>
          </w:p>
          <w:p w:rsidR="00784F55" w:rsidRPr="000B2C63" w:rsidRDefault="00784F55" w:rsidP="00E96C08">
            <w:pPr>
              <w:rPr>
                <w:rFonts w:ascii="MetaNormalLF-Roman" w:hAnsi="MetaNormalLF-Roman"/>
                <w:sz w:val="20"/>
                <w:szCs w:val="20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84F55" w:rsidRPr="00A61FAB" w:rsidRDefault="00784F55" w:rsidP="00E96C08">
            <w:pPr>
              <w:spacing w:before="120" w:after="120"/>
            </w:pPr>
            <w:r>
              <w:t xml:space="preserve">This lab is designed to investigate and practice Association Rules. </w:t>
            </w:r>
            <w:r w:rsidRPr="00A61FAB">
              <w:t>After completing the tasks in this lab you should able to:</w:t>
            </w:r>
          </w:p>
          <w:p w:rsidR="00784F55" w:rsidRDefault="00784F55" w:rsidP="00784F55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 R functions for Association Rule based models</w:t>
            </w:r>
          </w:p>
          <w:p w:rsidR="00784F55" w:rsidRPr="009F3007" w:rsidRDefault="00784F55" w:rsidP="00E96C08">
            <w:pPr>
              <w:spacing w:before="120" w:after="120"/>
              <w:ind w:left="360"/>
            </w:pPr>
          </w:p>
        </w:tc>
      </w:tr>
      <w:tr w:rsidR="00784F55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784F55" w:rsidRPr="000B2C63" w:rsidRDefault="00784F55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784F55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97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784F55" w:rsidRPr="000B2C63" w:rsidRDefault="00784F55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b/>
                <w:sz w:val="20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84F55" w:rsidRPr="00A61FAB" w:rsidRDefault="00784F55" w:rsidP="00E96C08">
            <w:pPr>
              <w:pStyle w:val="Header"/>
              <w:tabs>
                <w:tab w:val="clear" w:pos="4320"/>
                <w:tab w:val="clear" w:pos="8640"/>
              </w:tabs>
            </w:pPr>
            <w:r w:rsidRPr="00A61FAB">
              <w:t>Tasks you</w:t>
            </w:r>
            <w:r>
              <w:t xml:space="preserve"> wil</w:t>
            </w:r>
            <w:r w:rsidRPr="00A61FAB">
              <w:t>l complet</w:t>
            </w:r>
            <w:r>
              <w:t>e in this lab</w:t>
            </w:r>
            <w:r w:rsidRPr="00A61FAB">
              <w:t xml:space="preserve"> include:</w:t>
            </w:r>
          </w:p>
          <w:p w:rsidR="00784F55" w:rsidRDefault="00784F55" w:rsidP="00E96C08">
            <w:pPr>
              <w:pStyle w:val="NoSpacing"/>
              <w:numPr>
                <w:ilvl w:val="0"/>
                <w:numId w:val="1"/>
              </w:numPr>
            </w:pPr>
            <w:r>
              <w:t xml:space="preserve">Use the R –Studio environment to code Association Rule  models  </w:t>
            </w:r>
          </w:p>
          <w:p w:rsidR="00784F55" w:rsidRPr="00A37A9F" w:rsidRDefault="00784F55" w:rsidP="00E96C0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</w:pPr>
            <w:r w:rsidRPr="00AA74AA">
              <w:t xml:space="preserve">Apply </w:t>
            </w:r>
            <w:r w:rsidRPr="00AA74AA">
              <w:rPr>
                <w:rFonts w:cs="CMR10"/>
                <w:lang w:bidi="ar-SA"/>
              </w:rPr>
              <w:t>constraints in the Market Basket Analysis methods such as  minimum thresholds</w:t>
            </w:r>
            <w:r w:rsidRPr="00A37A9F">
              <w:rPr>
                <w:rFonts w:cs="CMR10"/>
                <w:lang w:bidi="ar-SA"/>
              </w:rPr>
              <w:t xml:space="preserve"> on support and confidence measures </w:t>
            </w:r>
            <w:r>
              <w:rPr>
                <w:rFonts w:cs="CMR10"/>
                <w:lang w:bidi="ar-SA"/>
              </w:rPr>
              <w:t>that can be used t</w:t>
            </w:r>
            <w:r w:rsidRPr="00A37A9F">
              <w:rPr>
                <w:rFonts w:cs="CMR10"/>
                <w:lang w:bidi="ar-SA"/>
              </w:rPr>
              <w:t>o select interesting rules fro</w:t>
            </w:r>
            <w:r>
              <w:rPr>
                <w:rFonts w:cs="CMR10"/>
                <w:lang w:bidi="ar-SA"/>
              </w:rPr>
              <w:t>m the set of all possible rules</w:t>
            </w:r>
          </w:p>
          <w:p w:rsidR="00784F55" w:rsidRDefault="00784F55" w:rsidP="00E96C08">
            <w:pPr>
              <w:pStyle w:val="NoSpacing"/>
              <w:numPr>
                <w:ilvl w:val="0"/>
                <w:numId w:val="1"/>
              </w:numPr>
            </w:pPr>
            <w:r>
              <w:t>Use R graphics “arules” to  execute and inspect the models and the effect of the various thresholds</w:t>
            </w:r>
          </w:p>
          <w:p w:rsidR="00784F55" w:rsidRPr="00262293" w:rsidRDefault="00784F55" w:rsidP="00E96C08">
            <w:pPr>
              <w:pStyle w:val="NoSpacing"/>
              <w:ind w:left="720"/>
            </w:pPr>
          </w:p>
        </w:tc>
      </w:tr>
      <w:tr w:rsidR="00784F55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784F55" w:rsidRPr="000B2C63" w:rsidRDefault="00784F55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784F55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784F55" w:rsidRPr="000B2C63" w:rsidRDefault="00784F55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F5087B">
              <w:rPr>
                <w:rFonts w:ascii="MetaNormalLF-Roman" w:eastAsia="MS Mincho" w:hAnsi="MetaNormalLF-Roman" w:cs="Arial"/>
                <w:b/>
                <w:color w:val="000000"/>
                <w:sz w:val="20"/>
                <w:lang w:eastAsia="ja-JP"/>
              </w:rPr>
              <w:t>References</w:t>
            </w:r>
            <w:r w:rsidRPr="000B2C63">
              <w:rPr>
                <w:rFonts w:ascii="MetaNormalLF-Roman" w:hAnsi="MetaNormalLF-Roman"/>
                <w:b/>
                <w:sz w:val="20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84F55" w:rsidRPr="005B7805" w:rsidRDefault="00784F55" w:rsidP="00784F55">
            <w:pPr>
              <w:pStyle w:val="NormalWeb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5B7805">
              <w:rPr>
                <w:rFonts w:ascii="Calibri" w:hAnsi="Calibri"/>
                <w:color w:val="000000"/>
                <w:sz w:val="22"/>
                <w:szCs w:val="22"/>
              </w:rPr>
              <w:t xml:space="preserve">The groceries data set - provided for arules by Michael Hahsler, Kurt Hornik and Thomas Reutterer. </w:t>
            </w:r>
            <w:hyperlink r:id="rId5" w:history="1">
              <w:r w:rsidRPr="005B7805">
                <w:rPr>
                  <w:rStyle w:val="Hyperlink"/>
                  <w:rFonts w:ascii="Calibri" w:hAnsi="Calibri"/>
                  <w:sz w:val="22"/>
                  <w:szCs w:val="22"/>
                </w:rPr>
                <w:t>http://rss.acs.unt.edu/Rdoc/library/arules/html/Groceries.html</w:t>
              </w:r>
            </w:hyperlink>
            <w:r w:rsidRPr="005B7805">
              <w:rPr>
                <w:rFonts w:ascii="Calibri" w:hAnsi="Calibri"/>
                <w:color w:val="000000"/>
                <w:sz w:val="22"/>
                <w:szCs w:val="22"/>
              </w:rPr>
              <w:t xml:space="preserve">     </w:t>
            </w:r>
          </w:p>
          <w:p w:rsidR="00784F55" w:rsidRPr="005B7805" w:rsidRDefault="00784F55" w:rsidP="00784F55">
            <w:pPr>
              <w:pStyle w:val="NormalWeb"/>
              <w:numPr>
                <w:ilvl w:val="1"/>
                <w:numId w:val="3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5B7805">
              <w:rPr>
                <w:rFonts w:ascii="Calibri" w:hAnsi="Calibri"/>
                <w:color w:val="000000"/>
                <w:sz w:val="22"/>
                <w:szCs w:val="22"/>
              </w:rPr>
              <w:t xml:space="preserve">Michael Hahsler, Kurt Hornik, and Thomas Reutterer (2006) Implications of probabilistic data modeling for mining association rules. In M. Spiliopoulou, R. Kruse, C. Borgelt, A. Nuernberger, and W. Gaul, editors, </w:t>
            </w:r>
            <w:r w:rsidRPr="005B7805">
              <w:rPr>
                <w:rStyle w:val="Emphasis"/>
                <w:rFonts w:ascii="Calibri" w:hAnsi="Calibri"/>
                <w:color w:val="000000"/>
                <w:sz w:val="22"/>
                <w:szCs w:val="22"/>
              </w:rPr>
              <w:t>From Data and Information Analysis to Knowledge Engineering, Studies in Classification, Data Analysis, and Knowledge Organization</w:t>
            </w:r>
            <w:r w:rsidRPr="005B7805">
              <w:rPr>
                <w:rFonts w:ascii="Calibri" w:hAnsi="Calibri"/>
                <w:color w:val="000000"/>
                <w:sz w:val="22"/>
                <w:szCs w:val="22"/>
              </w:rPr>
              <w:t xml:space="preserve">, pages 598–605. Springer-Verlag. </w:t>
            </w:r>
          </w:p>
        </w:tc>
      </w:tr>
    </w:tbl>
    <w:p w:rsidR="00784F55" w:rsidRPr="00F5087B" w:rsidRDefault="00784F55" w:rsidP="00784F55"/>
    <w:p w:rsidR="00784F55" w:rsidRPr="00F5087B" w:rsidRDefault="00784F55" w:rsidP="00784F55"/>
    <w:p w:rsidR="00784F55" w:rsidRPr="00754298" w:rsidRDefault="00784F55" w:rsidP="00784F55">
      <w:r>
        <w:t xml:space="preserve"> </w:t>
      </w:r>
    </w:p>
    <w:p w:rsidR="00784F55" w:rsidRDefault="00784F55" w:rsidP="00784F55"/>
    <w:p w:rsidR="00784F55" w:rsidRDefault="00784F55" w:rsidP="00784F55">
      <w:r>
        <w:br w:type="page"/>
      </w:r>
    </w:p>
    <w:p w:rsidR="00784F55" w:rsidRDefault="00784F55" w:rsidP="00784F55">
      <w:pPr>
        <w:pStyle w:val="Heading3"/>
      </w:pPr>
      <w:bookmarkStart w:id="1" w:name="_Toc323887138"/>
      <w:r>
        <w:lastRenderedPageBreak/>
        <w:t>Workflow Overview</w:t>
      </w:r>
      <w:bookmarkEnd w:id="1"/>
    </w:p>
    <w:p w:rsidR="00784F55" w:rsidRPr="006B0830" w:rsidRDefault="00784F55" w:rsidP="00784F55"/>
    <w:p w:rsidR="00784F55" w:rsidRDefault="00784F55" w:rsidP="00784F55">
      <w:pPr>
        <w:ind w:left="720"/>
        <w:rPr>
          <w:b/>
          <w:bCs/>
          <w:color w:val="548DD4"/>
          <w:sz w:val="28"/>
          <w:szCs w:val="28"/>
        </w:rPr>
      </w:pPr>
      <w:r w:rsidRPr="006B0830">
        <w:rPr>
          <w:noProof/>
          <w:lang w:eastAsia="zh-CN" w:bidi="ar-SA"/>
        </w:rPr>
        <w:drawing>
          <wp:inline distT="0" distB="0" distL="0" distR="0" wp14:anchorId="473E8F59" wp14:editId="460E2964">
            <wp:extent cx="5486400" cy="3657600"/>
            <wp:effectExtent l="0" t="19050" r="19050" b="3810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84F55" w:rsidRDefault="00784F55" w:rsidP="00784F55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r>
        <w:br w:type="page"/>
      </w:r>
    </w:p>
    <w:p w:rsidR="00784F55" w:rsidRDefault="00784F55" w:rsidP="00784F55">
      <w:pPr>
        <w:pStyle w:val="Heading3"/>
      </w:pPr>
      <w:bookmarkStart w:id="2" w:name="_Toc323887139"/>
      <w:r>
        <w:lastRenderedPageBreak/>
        <w:t>LAB Instructions</w:t>
      </w:r>
      <w:bookmarkEnd w:id="2"/>
    </w:p>
    <w:p w:rsidR="00784F55" w:rsidRDefault="00784F55" w:rsidP="00784F55">
      <w:pPr>
        <w:spacing w:after="0" w:line="240" w:lineRule="auto"/>
      </w:pP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8138"/>
      </w:tblGrid>
      <w:tr w:rsidR="00784F55" w:rsidRPr="000B2C63" w:rsidTr="00E96C08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784F55" w:rsidRPr="000B2C63" w:rsidRDefault="00784F55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>
              <w:br w:type="page"/>
            </w: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138" w:type="dxa"/>
            <w:shd w:val="clear" w:color="auto" w:fill="CCCCCC"/>
            <w:tcMar>
              <w:top w:w="60" w:type="dxa"/>
              <w:bottom w:w="60" w:type="dxa"/>
            </w:tcMar>
          </w:tcPr>
          <w:p w:rsidR="00784F55" w:rsidRPr="000B2C63" w:rsidRDefault="00784F55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Pr="00DA2F64" w:rsidRDefault="00784F55" w:rsidP="00E96C08">
            <w:pPr>
              <w:pStyle w:val="NoSpacing"/>
              <w:jc w:val="center"/>
            </w:pPr>
            <w:r w:rsidRPr="00DA2F64">
              <w:t>1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475CAC" w:rsidRDefault="00784F55" w:rsidP="00E96C08">
            <w:pPr>
              <w:pStyle w:val="NoSpacing"/>
            </w:pPr>
            <w:r w:rsidRPr="00475CAC">
              <w:t xml:space="preserve">Log in with GPADMIN credentials on to R-Studio. </w:t>
            </w:r>
          </w:p>
          <w:p w:rsidR="00784F55" w:rsidRPr="0061103E" w:rsidRDefault="00784F55" w:rsidP="00E96C08">
            <w:pPr>
              <w:pStyle w:val="NoSpacing"/>
              <w:ind w:left="720"/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Pr="00DA2F64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pStyle w:val="NoSpacing"/>
            </w:pPr>
            <w:r w:rsidRPr="00B06000">
              <w:rPr>
                <w:b/>
                <w:u w:val="single"/>
              </w:rPr>
              <w:t>Set the Working Directory</w:t>
            </w:r>
            <w:r>
              <w:rPr>
                <w:b/>
                <w:u w:val="single"/>
              </w:rPr>
              <w:t xml:space="preserve"> and install the “arules” package</w:t>
            </w:r>
            <w:r w:rsidRPr="00B06000">
              <w:rPr>
                <w:b/>
                <w:u w:val="single"/>
              </w:rPr>
              <w:t>:</w:t>
            </w:r>
          </w:p>
          <w:p w:rsidR="00784F55" w:rsidRPr="00475CAC" w:rsidRDefault="00784F55" w:rsidP="00E96C08">
            <w:pPr>
              <w:pStyle w:val="NoSpacing"/>
            </w:pPr>
            <w:r w:rsidRPr="00475CAC">
              <w:t xml:space="preserve">To understand Market Basket Analysis and the R package “arules,” use a simple set of transaction lists of “book-purchases”. </w:t>
            </w:r>
          </w:p>
          <w:p w:rsidR="00784F55" w:rsidRPr="00475CAC" w:rsidRDefault="00784F55" w:rsidP="00E96C08">
            <w:pPr>
              <w:pStyle w:val="NoSpacing"/>
            </w:pPr>
          </w:p>
          <w:p w:rsidR="00784F55" w:rsidRPr="00475CAC" w:rsidRDefault="00784F55" w:rsidP="00784F55">
            <w:pPr>
              <w:pStyle w:val="NoSpacing"/>
              <w:numPr>
                <w:ilvl w:val="0"/>
                <w:numId w:val="5"/>
              </w:numPr>
            </w:pPr>
            <w:r w:rsidRPr="00475CAC">
              <w:t>Set the w</w:t>
            </w:r>
            <w:r>
              <w:t>orking directory to ~/LAB05</w:t>
            </w:r>
            <w:r w:rsidRPr="00475CAC">
              <w:t>/  by executing the command:</w:t>
            </w:r>
          </w:p>
          <w:p w:rsidR="00784F55" w:rsidRDefault="00784F55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/>
                <w:b/>
                <w:lang w:bidi="ar-SA"/>
              </w:rPr>
            </w:pPr>
          </w:p>
          <w:p w:rsidR="00784F55" w:rsidRPr="00B50056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setwd("~/LAB05</w:t>
            </w:r>
            <w:r w:rsidRPr="00B5005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")</w:t>
            </w:r>
            <w:r w:rsidRPr="00B50056">
              <w:rPr>
                <w:b/>
                <w:sz w:val="22"/>
                <w:szCs w:val="22"/>
              </w:rPr>
              <w:br/>
            </w:r>
          </w:p>
          <w:p w:rsidR="00784F55" w:rsidRPr="00475CAC" w:rsidRDefault="00784F55" w:rsidP="00784F55">
            <w:pPr>
              <w:pStyle w:val="NoSpacing"/>
              <w:numPr>
                <w:ilvl w:val="0"/>
                <w:numId w:val="4"/>
              </w:numPr>
            </w:pPr>
            <w:r w:rsidRPr="00475CAC">
              <w:t xml:space="preserve">(Or using the “Tools” </w:t>
            </w:r>
            <w:r>
              <w:t>option in the tool bar in the R</w:t>
            </w:r>
            <w:r w:rsidRPr="00475CAC">
              <w:t>Studio environment.)</w:t>
            </w:r>
          </w:p>
          <w:p w:rsidR="00784F55" w:rsidRPr="00475CAC" w:rsidRDefault="00784F55" w:rsidP="00E96C08">
            <w:pPr>
              <w:pStyle w:val="NoSpacing"/>
            </w:pPr>
          </w:p>
          <w:p w:rsidR="00784F55" w:rsidRPr="00475CAC" w:rsidRDefault="00784F55" w:rsidP="00784F55">
            <w:pPr>
              <w:pStyle w:val="NoSpacing"/>
              <w:numPr>
                <w:ilvl w:val="0"/>
                <w:numId w:val="5"/>
              </w:numPr>
            </w:pPr>
            <w:r w:rsidRPr="00475CAC">
              <w:t>Load the package</w:t>
            </w:r>
            <w:r>
              <w:t xml:space="preserve"> (select the mirror if prompted)</w:t>
            </w:r>
            <w:r w:rsidRPr="00475CAC">
              <w:t xml:space="preserve"> and the required libraries:</w:t>
            </w:r>
          </w:p>
          <w:p w:rsidR="00784F55" w:rsidRPr="00475CAC" w:rsidRDefault="00784F55" w:rsidP="00E96C08">
            <w:pPr>
              <w:pStyle w:val="NoSpacing"/>
            </w:pPr>
          </w:p>
          <w:p w:rsidR="00784F55" w:rsidRPr="002D046F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</w:rPr>
              <w:t>#</w:t>
            </w: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Install the packages and load libraries</w:t>
            </w:r>
          </w:p>
          <w:p w:rsidR="00784F55" w:rsidRPr="002D046F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&gt;install.packages('arules')</w:t>
            </w:r>
          </w:p>
          <w:p w:rsidR="00784F55" w:rsidRPr="002D046F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&gt;install.packages('arulesViz')</w:t>
            </w:r>
          </w:p>
          <w:p w:rsidR="00784F55" w:rsidRPr="002D046F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&gt;library('arules')</w:t>
            </w:r>
          </w:p>
          <w:p w:rsidR="00784F55" w:rsidRPr="002D046F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&gt;library ('arulesViz'</w:t>
            </w:r>
            <w:r w:rsidRPr="002D046F">
              <w:rPr>
                <w:rStyle w:val="gd40030ccr"/>
              </w:rPr>
              <w:t>)</w:t>
            </w:r>
          </w:p>
          <w:p w:rsidR="00784F55" w:rsidRPr="0061103E" w:rsidRDefault="00784F55" w:rsidP="00E96C08">
            <w:pPr>
              <w:pStyle w:val="NoSpacing"/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Pr="00DA2F64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2F029B" w:rsidRDefault="00784F55" w:rsidP="00E96C08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Read in the Data for Modeling:</w:t>
            </w:r>
          </w:p>
          <w:p w:rsidR="00784F55" w:rsidRDefault="00784F55" w:rsidP="00E96C08">
            <w:pPr>
              <w:pStyle w:val="NoSpacing"/>
              <w:rPr>
                <w:u w:val="single"/>
              </w:rPr>
            </w:pPr>
          </w:p>
          <w:p w:rsidR="00784F55" w:rsidRPr="00852E90" w:rsidRDefault="00784F55" w:rsidP="00784F55">
            <w:pPr>
              <w:pStyle w:val="NoSpacing"/>
              <w:numPr>
                <w:ilvl w:val="0"/>
                <w:numId w:val="4"/>
              </w:numPr>
              <w:rPr>
                <w:u w:val="single"/>
              </w:rPr>
            </w:pPr>
            <w:r w:rsidRPr="00852E90">
              <w:rPr>
                <w:b/>
              </w:rPr>
              <w:t>Transaction List</w:t>
            </w:r>
            <w:r>
              <w:t xml:space="preserve"> is a special data type function in the “arules” package</w:t>
            </w:r>
            <w:r w:rsidRPr="00852E90">
              <w:t xml:space="preserve">. </w:t>
            </w:r>
          </w:p>
          <w:p w:rsidR="00784F55" w:rsidRDefault="00784F55" w:rsidP="00E96C08">
            <w:pPr>
              <w:pStyle w:val="NoSpacing"/>
            </w:pPr>
          </w:p>
          <w:p w:rsidR="00784F55" w:rsidRPr="00852E90" w:rsidRDefault="00784F55" w:rsidP="00784F55">
            <w:pPr>
              <w:pStyle w:val="NoSpacing"/>
              <w:numPr>
                <w:ilvl w:val="0"/>
                <w:numId w:val="6"/>
              </w:numPr>
            </w:pPr>
            <w:r>
              <w:t>Read the data in as a Transaction L</w:t>
            </w:r>
            <w:r w:rsidRPr="00852E90">
              <w:t>ist</w:t>
            </w:r>
            <w:r>
              <w:t xml:space="preserve"> using t</w:t>
            </w:r>
            <w:r w:rsidRPr="00852E90">
              <w:t>he following statement</w:t>
            </w:r>
            <w:r>
              <w:t xml:space="preserve"> for the </w:t>
            </w:r>
            <w:r w:rsidRPr="00852E90">
              <w:t>states data</w:t>
            </w:r>
            <w:r>
              <w:t>,</w:t>
            </w:r>
            <w:r w:rsidRPr="00852E90">
              <w:t xml:space="preserve"> “</w:t>
            </w:r>
            <w:r>
              <w:t>MBAdata.csv</w:t>
            </w:r>
            <w:r w:rsidRPr="00852E90">
              <w:t>”.</w:t>
            </w:r>
          </w:p>
          <w:p w:rsidR="00784F55" w:rsidRDefault="00784F55" w:rsidP="00E96C08">
            <w:pPr>
              <w:pStyle w:val="NoSpacing"/>
            </w:pPr>
          </w:p>
          <w:p w:rsidR="00784F55" w:rsidRPr="00852E90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852E90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#read in the csv file as a transaction data </w:t>
            </w:r>
          </w:p>
          <w:p w:rsidR="00784F55" w:rsidRPr="00852E90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852E90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852E90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txn &lt;- read.transactions ("MBAdata.csv",rm.duplicates = FALSE,format="single",sep=",",cols=c(1,2))</w:t>
            </w:r>
          </w:p>
          <w:p w:rsidR="00784F55" w:rsidRDefault="00784F55" w:rsidP="00E96C08">
            <w:pPr>
              <w:pStyle w:val="NoSpacing"/>
            </w:pPr>
          </w:p>
          <w:p w:rsidR="00784F55" w:rsidRDefault="00784F55" w:rsidP="00E96C08">
            <w:pPr>
              <w:pStyle w:val="NoSpacing"/>
            </w:pPr>
            <w:r>
              <w:t xml:space="preserve">The arguments for the </w:t>
            </w:r>
            <w:r w:rsidRPr="00852E90">
              <w:rPr>
                <w:b/>
              </w:rPr>
              <w:t>read.transaction functions</w:t>
            </w:r>
            <w:r>
              <w:t xml:space="preserve"> are detailed below:</w:t>
            </w:r>
          </w:p>
          <w:p w:rsidR="00784F55" w:rsidRDefault="00784F55" w:rsidP="00E96C08">
            <w:pPr>
              <w:pStyle w:val="NoSpacing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5873"/>
            </w:tblGrid>
            <w:tr w:rsidR="00784F55" w:rsidRPr="00BF0366" w:rsidTr="00E96C08">
              <w:trPr>
                <w:tblCellSpacing w:w="15" w:type="dxa"/>
              </w:trPr>
              <w:tc>
                <w:tcPr>
                  <w:tcW w:w="193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f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ile</w:t>
                  </w:r>
                </w:p>
              </w:tc>
              <w:tc>
                <w:tcPr>
                  <w:tcW w:w="5898" w:type="dxa"/>
                  <w:hideMark/>
                </w:tcPr>
                <w:p w:rsidR="00784F55" w:rsidRPr="00852E90" w:rsidRDefault="00784F55" w:rsidP="00E96C08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the file name.</w:t>
                  </w:r>
                </w:p>
              </w:tc>
            </w:tr>
            <w:tr w:rsidR="00784F55" w:rsidRPr="00BF0366" w:rsidTr="00E96C08">
              <w:trPr>
                <w:tblCellSpacing w:w="15" w:type="dxa"/>
              </w:trPr>
              <w:tc>
                <w:tcPr>
                  <w:tcW w:w="193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format</w:t>
                  </w:r>
                </w:p>
              </w:tc>
              <w:tc>
                <w:tcPr>
                  <w:tcW w:w="5898" w:type="dxa"/>
                  <w:hideMark/>
                </w:tcPr>
                <w:p w:rsidR="00784F55" w:rsidRPr="00852E90" w:rsidRDefault="00784F55" w:rsidP="00E96C08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character string indicating the format of the data set. One of "basket" or "single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>”</w:t>
                  </w: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, can be abbreviated.</w:t>
                  </w:r>
                </w:p>
              </w:tc>
            </w:tr>
            <w:tr w:rsidR="00784F55" w:rsidRPr="00BF0366" w:rsidTr="00E96C08">
              <w:trPr>
                <w:tblCellSpacing w:w="15" w:type="dxa"/>
              </w:trPr>
              <w:tc>
                <w:tcPr>
                  <w:tcW w:w="193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Sep</w:t>
                  </w:r>
                </w:p>
              </w:tc>
              <w:tc>
                <w:tcPr>
                  <w:tcW w:w="5898" w:type="dxa"/>
                  <w:hideMark/>
                </w:tcPr>
                <w:p w:rsidR="00784F55" w:rsidRPr="00852E90" w:rsidRDefault="00784F55" w:rsidP="00E96C08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character string specifying how fields are separated in the data file, or NULL (default). For basket format, this can be a regular expression; otherwise, a single character must be given. The default corresponds to white space separators.</w:t>
                  </w:r>
                </w:p>
              </w:tc>
            </w:tr>
            <w:tr w:rsidR="00784F55" w:rsidRPr="00BF0366" w:rsidTr="00E96C08">
              <w:trPr>
                <w:tblCellSpacing w:w="15" w:type="dxa"/>
              </w:trPr>
              <w:tc>
                <w:tcPr>
                  <w:tcW w:w="193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Cols</w:t>
                  </w:r>
                </w:p>
              </w:tc>
              <w:tc>
                <w:tcPr>
                  <w:tcW w:w="5898" w:type="dxa"/>
                  <w:hideMark/>
                </w:tcPr>
                <w:p w:rsidR="00784F55" w:rsidRPr="00852E90" w:rsidRDefault="00784F55" w:rsidP="00E96C08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For the ‘single’ format, cols is a numeric vector of length two giving the numbers of the columns (fields) with the transaction and item ids, respectively. For the ‘basket’ format, cols can be a numeric scalar giving the number of the column (field) with the transaction ids. If cols = NULL</w:t>
                  </w:r>
                </w:p>
              </w:tc>
            </w:tr>
            <w:tr w:rsidR="00784F55" w:rsidRPr="00BF0366" w:rsidTr="00E96C08">
              <w:trPr>
                <w:tblCellSpacing w:w="15" w:type="dxa"/>
              </w:trPr>
              <w:tc>
                <w:tcPr>
                  <w:tcW w:w="193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rm.duplicates</w:t>
                  </w:r>
                </w:p>
              </w:tc>
              <w:tc>
                <w:tcPr>
                  <w:tcW w:w="5898" w:type="dxa"/>
                  <w:hideMark/>
                </w:tcPr>
                <w:p w:rsidR="00784F55" w:rsidRPr="00852E90" w:rsidRDefault="00784F55" w:rsidP="00E96C08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a logical value specifying if duplicate items should be remov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>e</w:t>
                  </w:r>
                  <w:r w:rsidRPr="00852E90">
                    <w:rPr>
                      <w:color w:val="000000"/>
                      <w:sz w:val="20"/>
                      <w:szCs w:val="20"/>
                      <w:lang w:bidi="ar-SA"/>
                    </w:rPr>
                    <w:t>d from the transactions.</w:t>
                  </w:r>
                </w:p>
              </w:tc>
            </w:tr>
          </w:tbl>
          <w:p w:rsidR="00784F55" w:rsidRDefault="00784F55" w:rsidP="00E96C08">
            <w:pPr>
              <w:pStyle w:val="NoSpacing"/>
            </w:pPr>
          </w:p>
          <w:p w:rsidR="00784F55" w:rsidRPr="0061103E" w:rsidRDefault="00784F55" w:rsidP="00E96C08">
            <w:pPr>
              <w:pStyle w:val="NoSpacing"/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2F029B" w:rsidRDefault="00784F55" w:rsidP="00E96C08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Review Transaction data:</w:t>
            </w:r>
          </w:p>
          <w:p w:rsidR="00784F55" w:rsidRDefault="00784F55" w:rsidP="00784F55">
            <w:pPr>
              <w:pStyle w:val="NoSpacing"/>
              <w:numPr>
                <w:ilvl w:val="0"/>
                <w:numId w:val="8"/>
              </w:numPr>
            </w:pPr>
            <w:r w:rsidRPr="00F72A29">
              <w:t>First inspect the transaction data</w:t>
            </w:r>
          </w:p>
          <w:p w:rsidR="00784F55" w:rsidRPr="004602CD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&gt;txn@transactionInfo </w:t>
            </w:r>
          </w:p>
          <w:p w:rsidR="00784F55" w:rsidRPr="004602CD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602CD">
              <w:rPr>
                <w:rStyle w:val="gd40030cor"/>
                <w:b/>
                <w:sz w:val="22"/>
                <w:szCs w:val="22"/>
                <w:shd w:val="clear" w:color="auto" w:fill="E1E2E5"/>
              </w:rPr>
              <w:t>&gt;</w:t>
            </w:r>
            <w:r w:rsidRPr="004602CD">
              <w:rPr>
                <w:rStyle w:val="gd40030ccr"/>
                <w:b/>
                <w:sz w:val="22"/>
                <w:szCs w:val="22"/>
                <w:shd w:val="clear" w:color="auto" w:fill="E1E2E5"/>
              </w:rPr>
              <w:t>txn@itemInfo</w:t>
            </w:r>
          </w:p>
          <w:p w:rsidR="00784F55" w:rsidRPr="00F72A29" w:rsidRDefault="00784F55" w:rsidP="00E96C08">
            <w:pPr>
              <w:pStyle w:val="NoSpacing"/>
            </w:pPr>
            <w:r>
              <w:t>2.    Review the results on the console</w:t>
            </w: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2F029B" w:rsidRDefault="00784F55" w:rsidP="00E96C08">
            <w:pPr>
              <w:pStyle w:val="NoSpacing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Plot Transactions:</w:t>
            </w:r>
          </w:p>
          <w:p w:rsidR="00784F55" w:rsidRDefault="00784F55" w:rsidP="00E96C08">
            <w:pPr>
              <w:pStyle w:val="NoSpacing"/>
            </w:pPr>
            <w:r>
              <w:t>1. Use the “image” function that shows</w:t>
            </w:r>
            <w:r w:rsidRPr="004602CD">
              <w:t xml:space="preserve"> a visual representation of the transaction set</w:t>
            </w:r>
            <w:r>
              <w:t xml:space="preserve"> in which the </w:t>
            </w:r>
            <w:r w:rsidRPr="004602CD">
              <w:t>rows are individual transactions (identified by transaction ids)</w:t>
            </w:r>
            <w:r>
              <w:t xml:space="preserve"> and the</w:t>
            </w:r>
            <w:r w:rsidRPr="004602CD">
              <w:t xml:space="preserve"> dark squares are items contained in each transaction.</w:t>
            </w:r>
          </w:p>
          <w:p w:rsidR="00784F55" w:rsidRPr="004602CD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602CD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C505C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image(txn)</w:t>
            </w:r>
          </w:p>
          <w:p w:rsidR="00784F55" w:rsidRDefault="00784F55" w:rsidP="00E96C08">
            <w:pPr>
              <w:pStyle w:val="NoSpacing"/>
            </w:pPr>
          </w:p>
          <w:p w:rsidR="00784F55" w:rsidRPr="004602CD" w:rsidRDefault="00784F55" w:rsidP="00E96C08">
            <w:pPr>
              <w:pStyle w:val="NoSpacing"/>
            </w:pPr>
            <w:r>
              <w:t>2. Review the output in the graphics window</w:t>
            </w:r>
          </w:p>
          <w:p w:rsidR="00784F55" w:rsidRDefault="00784F55" w:rsidP="00E96C08">
            <w:pPr>
              <w:pStyle w:val="NoSpacing"/>
              <w:rPr>
                <w:u w:val="single"/>
              </w:rPr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E4425A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u w:val="single"/>
              </w:rPr>
            </w:pPr>
            <w:r w:rsidRPr="00E4425A">
              <w:rPr>
                <w:b/>
                <w:u w:val="single"/>
              </w:rPr>
              <w:t>Mine the Association Rules: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u w:val="single"/>
              </w:rPr>
            </w:pPr>
          </w:p>
          <w:p w:rsidR="00784F55" w:rsidRPr="00852E90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u w:val="single"/>
              </w:rPr>
            </w:pPr>
            <w:r w:rsidRPr="00852E90">
              <w:t xml:space="preserve">The </w:t>
            </w:r>
            <w:r w:rsidRPr="00852E90">
              <w:rPr>
                <w:b/>
              </w:rPr>
              <w:t>“apriori” function</w:t>
            </w:r>
            <w:r w:rsidRPr="00852E90">
              <w:t xml:space="preserve">, provided by the </w:t>
            </w:r>
            <w:r w:rsidRPr="00852E90">
              <w:rPr>
                <w:i/>
                <w:iCs/>
              </w:rPr>
              <w:t>arulesr</w:t>
            </w:r>
            <w:r w:rsidRPr="00852E90">
              <w:t xml:space="preserve"> package,  is used as follows:</w:t>
            </w:r>
          </w:p>
          <w:p w:rsidR="00784F55" w:rsidRPr="00852E90" w:rsidRDefault="00784F55" w:rsidP="00E96C08">
            <w:pPr>
              <w:pStyle w:val="HTMLPreformatted"/>
              <w:rPr>
                <w:rFonts w:ascii="Calibri" w:hAnsi="Calibri"/>
                <w:color w:val="000000"/>
              </w:rPr>
            </w:pPr>
          </w:p>
          <w:p w:rsidR="00784F55" w:rsidRPr="003D2BE6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rules &lt;- apriori(File, </w:t>
            </w:r>
          </w:p>
          <w:p w:rsidR="00784F55" w:rsidRPr="003D2BE6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           parameter = list(supp = 0.5, conf = 0.9,</w:t>
            </w:r>
          </w:p>
          <w:p w:rsidR="00784F55" w:rsidRPr="003D2BE6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D2B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                      target = "rules"))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 w:rsidRPr="00CB3827">
              <w:rPr>
                <w:lang w:bidi="ar-SA"/>
              </w:rPr>
              <w:t>where the arguments are: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  <w:gridCol w:w="6033"/>
            </w:tblGrid>
            <w:tr w:rsidR="00784F55" w:rsidTr="00E96C08">
              <w:trPr>
                <w:tblCellSpacing w:w="15" w:type="dxa"/>
              </w:trPr>
              <w:tc>
                <w:tcPr>
                  <w:tcW w:w="184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color w:val="000000"/>
                    </w:rPr>
                  </w:pPr>
                  <w:r>
                    <w:rPr>
                      <w:rStyle w:val="HTMLCode"/>
                      <w:b/>
                      <w:color w:val="000000"/>
                    </w:rPr>
                    <w:t>d</w:t>
                  </w:r>
                  <w:r w:rsidRPr="00895A20">
                    <w:rPr>
                      <w:rStyle w:val="HTMLCode"/>
                      <w:b/>
                      <w:color w:val="000000"/>
                    </w:rPr>
                    <w:t>ata</w:t>
                  </w:r>
                </w:p>
              </w:tc>
              <w:tc>
                <w:tcPr>
                  <w:tcW w:w="5988" w:type="dxa"/>
                  <w:hideMark/>
                </w:tcPr>
                <w:p w:rsidR="00784F55" w:rsidRPr="00895A20" w:rsidRDefault="00784F55" w:rsidP="00E96C08">
                  <w:pPr>
                    <w:rPr>
                      <w:color w:val="000000"/>
                    </w:rPr>
                  </w:pPr>
                  <w:r w:rsidRPr="00895A20">
                    <w:rPr>
                      <w:color w:val="000000"/>
                    </w:rPr>
                    <w:t xml:space="preserve">object of class </w:t>
                  </w:r>
                  <w:r w:rsidRPr="00BB0C8C">
                    <w:t>transactions</w:t>
                  </w:r>
                  <w:r w:rsidRPr="00895A20">
                    <w:rPr>
                      <w:color w:val="000000"/>
                    </w:rPr>
                    <w:t xml:space="preserve"> or any data structure which can be coerced into </w:t>
                  </w:r>
                  <w:r w:rsidRPr="00BB0C8C">
                    <w:t>transactions</w:t>
                  </w:r>
                  <w:r w:rsidRPr="00895A20">
                    <w:rPr>
                      <w:color w:val="000000"/>
                    </w:rPr>
                    <w:t xml:space="preserve"> (</w:t>
                  </w:r>
                  <w:r>
                    <w:rPr>
                      <w:color w:val="000000"/>
                    </w:rPr>
                    <w:t>for example</w:t>
                  </w:r>
                  <w:r w:rsidRPr="00895A20">
                    <w:rPr>
                      <w:color w:val="000000"/>
                    </w:rPr>
                    <w:t>, a binary matrix or data.frame).</w:t>
                  </w:r>
                </w:p>
              </w:tc>
            </w:tr>
            <w:tr w:rsidR="00784F55" w:rsidTr="00E96C08">
              <w:trPr>
                <w:tblCellSpacing w:w="15" w:type="dxa"/>
              </w:trPr>
              <w:tc>
                <w:tcPr>
                  <w:tcW w:w="1844" w:type="dxa"/>
                  <w:hideMark/>
                </w:tcPr>
                <w:p w:rsidR="00784F55" w:rsidRPr="00895A20" w:rsidRDefault="00784F55" w:rsidP="00784F5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color w:val="000000"/>
                    </w:rPr>
                  </w:pPr>
                  <w:r w:rsidRPr="00895A20">
                    <w:rPr>
                      <w:rStyle w:val="HTMLCode"/>
                      <w:b/>
                      <w:color w:val="000000"/>
                    </w:rPr>
                    <w:t>parameter</w:t>
                  </w:r>
                </w:p>
              </w:tc>
              <w:tc>
                <w:tcPr>
                  <w:tcW w:w="5988" w:type="dxa"/>
                  <w:hideMark/>
                </w:tcPr>
                <w:p w:rsidR="00784F55" w:rsidRPr="00895A20" w:rsidRDefault="00784F55" w:rsidP="00E96C08">
                  <w:pPr>
                    <w:rPr>
                      <w:color w:val="000000"/>
                    </w:rPr>
                  </w:pPr>
                  <w:r w:rsidRPr="00895A20">
                    <w:rPr>
                      <w:color w:val="000000"/>
                    </w:rPr>
                    <w:t>named list. The default behavior is to mine rules with support 0.1, confidence 0.8, and maxlen 5.</w:t>
                  </w:r>
                </w:p>
              </w:tc>
            </w:tr>
          </w:tbl>
          <w:p w:rsidR="00784F55" w:rsidRPr="00CB3827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1. Read in the statement for the transaction data:</w:t>
            </w:r>
          </w:p>
          <w:p w:rsidR="00784F55" w:rsidRPr="00437B73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437B73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#mine association rules</w:t>
            </w:r>
          </w:p>
          <w:p w:rsidR="00784F55" w:rsidRPr="00437B73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437B73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437B73">
              <w:rPr>
                <w:rStyle w:val="gd40030ccr"/>
                <w:b/>
                <w:sz w:val="22"/>
                <w:szCs w:val="22"/>
                <w:shd w:val="clear" w:color="auto" w:fill="E1E2E5"/>
              </w:rPr>
              <w:t>basket_rules &lt;- apriori(txn,parameter=list(sup=0.5,conf=0.9,target="rules"))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2. Review the output on the console. The number of rules generated can be seen in the output and is represented as follows:</w:t>
            </w:r>
          </w:p>
          <w:p w:rsidR="00784F55" w:rsidRPr="00513117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513117">
              <w:rPr>
                <w:b/>
                <w:sz w:val="22"/>
                <w:szCs w:val="22"/>
                <w:shd w:val="clear" w:color="auto" w:fill="E1E2E5"/>
              </w:rPr>
              <w:t>writing ... [1 rule(s)] done [0.00s]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3. Inspect the rule using the following statement:</w:t>
            </w:r>
          </w:p>
          <w:p w:rsidR="00784F55" w:rsidRPr="00371227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371227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71227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inspect(basket_rules)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4. Review the output.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5. State the generated rule and the support, confidence and the lift thresholds for the rule</w:t>
            </w: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</w:p>
          <w:p w:rsidR="00784F55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</w:p>
          <w:p w:rsidR="00784F55" w:rsidRPr="00CB3827" w:rsidRDefault="00784F55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D84739" w:rsidRDefault="00784F55" w:rsidP="00E96C08">
            <w:pPr>
              <w:pStyle w:val="NormalWeb"/>
              <w:rPr>
                <w:rFonts w:ascii="Calibri" w:hAnsi="Calibri" w:cs="CMR12"/>
                <w:b/>
                <w:sz w:val="22"/>
                <w:szCs w:val="22"/>
                <w:u w:val="single"/>
              </w:rPr>
            </w:pPr>
            <w:r w:rsidRPr="00D84739">
              <w:rPr>
                <w:rFonts w:ascii="Calibri" w:hAnsi="Calibri" w:cs="CMR12"/>
                <w:b/>
                <w:sz w:val="22"/>
                <w:szCs w:val="22"/>
                <w:u w:val="single"/>
              </w:rPr>
              <w:t>Read in Groceries dataset</w:t>
            </w:r>
          </w:p>
          <w:p w:rsidR="00784F55" w:rsidRDefault="00784F55" w:rsidP="00E96C08">
            <w:pPr>
              <w:pStyle w:val="NormalWeb"/>
              <w:rPr>
                <w:rFonts w:ascii="Calibri" w:hAnsi="Calibri" w:cs="CMR12"/>
                <w:sz w:val="22"/>
                <w:szCs w:val="22"/>
              </w:rPr>
            </w:pPr>
            <w:r>
              <w:rPr>
                <w:rFonts w:ascii="Calibri" w:hAnsi="Calibri" w:cs="CMR12"/>
                <w:sz w:val="22"/>
                <w:szCs w:val="22"/>
              </w:rPr>
              <w:t xml:space="preserve">Use the </w:t>
            </w:r>
            <w:r w:rsidRPr="00010886">
              <w:rPr>
                <w:rFonts w:ascii="Calibri" w:hAnsi="Calibri" w:cs="CMR12"/>
                <w:sz w:val="22"/>
                <w:szCs w:val="22"/>
              </w:rPr>
              <w:t>standard data</w:t>
            </w:r>
            <w:r>
              <w:rPr>
                <w:rFonts w:ascii="Calibri" w:hAnsi="Calibri" w:cs="CMR12"/>
                <w:sz w:val="22"/>
                <w:szCs w:val="22"/>
              </w:rPr>
              <w:t xml:space="preserve"> </w:t>
            </w:r>
            <w:r w:rsidRPr="00010886">
              <w:rPr>
                <w:rFonts w:ascii="Calibri" w:hAnsi="Calibri" w:cs="CMR12"/>
                <w:sz w:val="22"/>
                <w:szCs w:val="22"/>
              </w:rPr>
              <w:t>set</w:t>
            </w:r>
            <w:r>
              <w:rPr>
                <w:rFonts w:ascii="Calibri" w:hAnsi="Calibri" w:cs="CMR12"/>
                <w:sz w:val="22"/>
                <w:szCs w:val="22"/>
              </w:rPr>
              <w:t>,</w:t>
            </w:r>
            <w:r w:rsidRPr="00010886">
              <w:rPr>
                <w:rFonts w:ascii="Calibri" w:hAnsi="Calibri" w:cs="CMR12"/>
                <w:sz w:val="22"/>
                <w:szCs w:val="22"/>
              </w:rPr>
              <w:t xml:space="preserve"> “Groceries” available with the “arules” package</w:t>
            </w:r>
            <w:r>
              <w:rPr>
                <w:rFonts w:ascii="Calibri" w:hAnsi="Calibri" w:cs="CMR12"/>
                <w:sz w:val="22"/>
                <w:szCs w:val="22"/>
              </w:rPr>
              <w:t xml:space="preserve">.                </w:t>
            </w:r>
          </w:p>
          <w:p w:rsidR="00784F55" w:rsidRPr="00010886" w:rsidRDefault="00784F55" w:rsidP="00784F55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MR12"/>
                <w:sz w:val="22"/>
                <w:szCs w:val="22"/>
              </w:rPr>
            </w:pP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 xml:space="preserve">The </w:t>
            </w:r>
            <w:r w:rsidRPr="00010886">
              <w:rPr>
                <w:rStyle w:val="HTMLCode"/>
                <w:rFonts w:ascii="Calibri" w:hAnsi="Calibri"/>
                <w:color w:val="000000"/>
                <w:sz w:val="22"/>
                <w:szCs w:val="22"/>
              </w:rPr>
              <w:t>Groceries</w:t>
            </w: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 xml:space="preserve"> data set contains 1 month (30 days) of real-world point-of-sale transaction data from a typical local grocery outlet. The data set contains 9835 transactions and the items are aggregated to 169 categories. </w:t>
            </w:r>
          </w:p>
          <w:p w:rsidR="00784F55" w:rsidRPr="00010886" w:rsidRDefault="00784F55" w:rsidP="00E96C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</w:t>
            </w:r>
            <w:r w:rsidRPr="00010886">
              <w:rPr>
                <w:rFonts w:ascii="Calibri" w:hAnsi="Calibri"/>
                <w:color w:val="000000"/>
                <w:sz w:val="22"/>
                <w:szCs w:val="22"/>
              </w:rPr>
              <w:t>Read in the data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set and inspect the item information</w:t>
            </w:r>
          </w:p>
          <w:p w:rsidR="00784F55" w:rsidRPr="00010886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01088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01088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#Read in Groceries data</w:t>
            </w:r>
          </w:p>
          <w:p w:rsidR="00784F55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01088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01088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data(Groceries)</w:t>
            </w:r>
          </w:p>
          <w:p w:rsidR="00784F55" w:rsidRPr="00605FE3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BA1AB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BA1AB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Groceries@itemInfo</w:t>
            </w:r>
          </w:p>
          <w:p w:rsidR="00784F55" w:rsidRPr="00010886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E4425A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E4425A">
              <w:rPr>
                <w:rFonts w:cs="CMR12"/>
                <w:b/>
                <w:u w:val="single"/>
                <w:lang w:bidi="ar-SA"/>
              </w:rPr>
              <w:t xml:space="preserve">Mine the </w:t>
            </w:r>
            <w:r>
              <w:rPr>
                <w:rFonts w:cs="CMR12"/>
                <w:b/>
                <w:u w:val="single"/>
                <w:lang w:bidi="ar-SA"/>
              </w:rPr>
              <w:t>R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ules for the </w:t>
            </w:r>
            <w:r>
              <w:rPr>
                <w:rFonts w:cs="CMR12"/>
                <w:b/>
                <w:u w:val="single"/>
                <w:lang w:bidi="ar-SA"/>
              </w:rPr>
              <w:t>G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roceries </w:t>
            </w:r>
            <w:r>
              <w:rPr>
                <w:rFonts w:cs="CMR12"/>
                <w:b/>
                <w:u w:val="single"/>
                <w:lang w:bidi="ar-SA"/>
              </w:rPr>
              <w:t>D</w:t>
            </w:r>
            <w:r w:rsidRPr="00E4425A">
              <w:rPr>
                <w:rFonts w:cs="CMR12"/>
                <w:b/>
                <w:u w:val="single"/>
                <w:lang w:bidi="ar-SA"/>
              </w:rPr>
              <w:t>ata:</w:t>
            </w:r>
          </w:p>
          <w:p w:rsidR="00784F55" w:rsidRDefault="00784F55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784F55" w:rsidRPr="005579E5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5579E5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#mine rules</w:t>
            </w:r>
          </w:p>
          <w:p w:rsidR="00784F55" w:rsidRPr="005579E5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5579E5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5579E5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rules &lt;- apriori(Groceries, parameter=list(support=0.001, confidence=0.5))</w:t>
            </w:r>
          </w:p>
          <w:p w:rsidR="00784F55" w:rsidRDefault="00784F55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784F55" w:rsidRDefault="00784F55" w:rsidP="00784F5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Note the values used for the parameter list.</w:t>
            </w:r>
          </w:p>
          <w:p w:rsidR="00784F55" w:rsidRDefault="00784F55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784F55" w:rsidRDefault="00784F55" w:rsidP="00784F5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How many rules are generated?</w:t>
            </w:r>
          </w:p>
          <w:p w:rsidR="00784F55" w:rsidRDefault="00784F55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</w:tc>
      </w:tr>
      <w:tr w:rsidR="00784F55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784F55" w:rsidRDefault="00784F55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38" w:type="dxa"/>
            <w:tcMar>
              <w:top w:w="60" w:type="dxa"/>
              <w:bottom w:w="60" w:type="dxa"/>
            </w:tcMar>
          </w:tcPr>
          <w:p w:rsidR="00784F55" w:rsidRPr="00E4425A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E4425A">
              <w:rPr>
                <w:rFonts w:cs="CMR12"/>
                <w:b/>
                <w:u w:val="single"/>
                <w:lang w:bidi="ar-SA"/>
              </w:rPr>
              <w:t xml:space="preserve">Extract the </w:t>
            </w:r>
            <w:r>
              <w:rPr>
                <w:rFonts w:cs="CMR12"/>
                <w:b/>
                <w:u w:val="single"/>
                <w:lang w:bidi="ar-SA"/>
              </w:rPr>
              <w:t>R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ules in which the </w:t>
            </w:r>
            <w:r>
              <w:rPr>
                <w:rFonts w:cs="CMR12"/>
                <w:b/>
                <w:u w:val="single"/>
                <w:lang w:bidi="ar-SA"/>
              </w:rPr>
              <w:t>C</w:t>
            </w:r>
            <w:r w:rsidRPr="00E4425A">
              <w:rPr>
                <w:rFonts w:cs="CMR12"/>
                <w:b/>
                <w:u w:val="single"/>
                <w:lang w:bidi="ar-SA"/>
              </w:rPr>
              <w:t xml:space="preserve">onfidence </w:t>
            </w:r>
            <w:r>
              <w:rPr>
                <w:rFonts w:cs="CMR12"/>
                <w:b/>
                <w:u w:val="single"/>
                <w:lang w:bidi="ar-SA"/>
              </w:rPr>
              <w:t>V</w:t>
            </w:r>
            <w:r w:rsidRPr="00E4425A">
              <w:rPr>
                <w:rFonts w:cs="CMR12"/>
                <w:b/>
                <w:u w:val="single"/>
                <w:lang w:bidi="ar-SA"/>
              </w:rPr>
              <w:t>alue is &gt;0.8</w:t>
            </w:r>
            <w:r>
              <w:rPr>
                <w:rFonts w:cs="CMR12"/>
                <w:b/>
                <w:u w:val="single"/>
                <w:lang w:bidi="ar-SA"/>
              </w:rPr>
              <w:t xml:space="preserve"> and high lift</w:t>
            </w:r>
            <w:r w:rsidRPr="00E4425A">
              <w:rPr>
                <w:rFonts w:cs="CMR12"/>
                <w:b/>
                <w:u w:val="single"/>
                <w:lang w:bidi="ar-SA"/>
              </w:rPr>
              <w:t>: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t>1. Execute the following commands:</w:t>
            </w:r>
          </w:p>
          <w:p w:rsidR="00784F55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subrules &lt;- rules[quality(rules)$confidence &gt; 0.8]</w:t>
            </w:r>
          </w:p>
          <w:p w:rsidR="00784F55" w:rsidRPr="002A54A1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D046F">
              <w:rPr>
                <w:rStyle w:val="gd40030ccr"/>
                <w:b/>
                <w:sz w:val="22"/>
                <w:szCs w:val="22"/>
                <w:shd w:val="clear" w:color="auto" w:fill="E1E2E5"/>
              </w:rPr>
              <w:t>plot(subrules, control = list(jitter=2))</w:t>
            </w:r>
          </w:p>
          <w:p w:rsidR="00784F55" w:rsidRPr="002A54A1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inspect(subrules)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Pr="00A71E2F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2. R</w:t>
            </w:r>
            <w:r w:rsidRPr="00A71E2F">
              <w:rPr>
                <w:rFonts w:cs="CMR12"/>
                <w:lang w:bidi="ar-SA"/>
              </w:rPr>
              <w:t>eview the results.</w:t>
            </w:r>
          </w:p>
          <w:p w:rsidR="00784F55" w:rsidRPr="00A71E2F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3. H</w:t>
            </w:r>
            <w:r w:rsidRPr="00A71E2F">
              <w:rPr>
                <w:rFonts w:cs="CMR12"/>
                <w:lang w:bidi="ar-SA"/>
              </w:rPr>
              <w:t>ow many sub-rules did you extract?</w:t>
            </w:r>
          </w:p>
          <w:p w:rsidR="00784F55" w:rsidRPr="002A54A1" w:rsidRDefault="00784F55" w:rsidP="00784F5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2A54A1">
              <w:rPr>
                <w:rFonts w:cs="CMR12"/>
                <w:lang w:bidi="ar-SA"/>
              </w:rPr>
              <w:t>These rules are more valuable for the business.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Pr="00A71E2F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4. </w:t>
            </w:r>
            <w:r w:rsidRPr="00A71E2F">
              <w:rPr>
                <w:rFonts w:cs="CMR12"/>
                <w:lang w:bidi="ar-SA"/>
              </w:rPr>
              <w:t>Extract the top three rules with high threshold for the parameter “lift”</w:t>
            </w:r>
            <w:r>
              <w:rPr>
                <w:rFonts w:cs="CMR12"/>
                <w:lang w:bidi="ar-SA"/>
              </w:rPr>
              <w:t xml:space="preserve"> and plot</w:t>
            </w:r>
            <w:r w:rsidRPr="00A71E2F">
              <w:rPr>
                <w:rFonts w:cs="CMR12"/>
                <w:lang w:bidi="ar-SA"/>
              </w:rPr>
              <w:t>.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Pr="002A54A1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#Extract the top three rules with high lift </w:t>
            </w:r>
          </w:p>
          <w:p w:rsidR="00784F55" w:rsidRPr="002A54A1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rules_high_lift &lt;- head(sort(rules, by="lift"), 3)</w:t>
            </w:r>
          </w:p>
          <w:p w:rsidR="00784F55" w:rsidRDefault="00784F55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2A54A1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A54A1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inspect(rules_high_lift)</w:t>
            </w:r>
          </w:p>
          <w:p w:rsidR="00784F55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>
              <w:rPr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2D046F">
              <w:rPr>
                <w:b/>
                <w:sz w:val="22"/>
                <w:szCs w:val="22"/>
                <w:shd w:val="clear" w:color="auto" w:fill="E1E2E5"/>
              </w:rPr>
              <w:t>plot(rules_high_lift,method="graph",</w:t>
            </w:r>
          </w:p>
          <w:p w:rsidR="00784F55" w:rsidRPr="002A54A1" w:rsidRDefault="00784F55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>
              <w:rPr>
                <w:b/>
                <w:sz w:val="22"/>
                <w:szCs w:val="22"/>
                <w:shd w:val="clear" w:color="auto" w:fill="E1E2E5"/>
              </w:rPr>
              <w:t xml:space="preserve">+ </w:t>
            </w:r>
            <w:r w:rsidRPr="002D046F">
              <w:rPr>
                <w:b/>
                <w:sz w:val="22"/>
                <w:szCs w:val="22"/>
                <w:shd w:val="clear" w:color="auto" w:fill="E1E2E5"/>
              </w:rPr>
              <w:t>control=list(type="items"))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Pr="00A71E2F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5. </w:t>
            </w:r>
            <w:r w:rsidRPr="00A71E2F">
              <w:rPr>
                <w:rFonts w:cs="CMR12"/>
                <w:lang w:bidi="ar-SA"/>
              </w:rPr>
              <w:t>List the rules and the value of the parameters associated with these rules:</w:t>
            </w:r>
          </w:p>
          <w:p w:rsidR="00784F55" w:rsidRDefault="00784F55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784F55" w:rsidRPr="002D046F" w:rsidRDefault="00784F55" w:rsidP="00784F5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6947AC">
              <w:rPr>
                <w:rFonts w:cs="CMR12"/>
                <w:lang w:bidi="ar-SA"/>
              </w:rPr>
              <w:t>The R Code for this exerc</w:t>
            </w:r>
            <w:r>
              <w:rPr>
                <w:rFonts w:cs="CMR12"/>
                <w:lang w:bidi="ar-SA"/>
              </w:rPr>
              <w:t>ise is available at  home/gpadmin/LAB05/mba.R</w:t>
            </w:r>
          </w:p>
        </w:tc>
      </w:tr>
    </w:tbl>
    <w:p w:rsidR="00DA30A5" w:rsidRDefault="00DA30A5" w:rsidP="00784F55">
      <w:pPr>
        <w:jc w:val="center"/>
      </w:pPr>
      <w:bookmarkStart w:id="3" w:name="_GoBack"/>
      <w:bookmarkEnd w:id="3"/>
    </w:p>
    <w:sectPr w:rsidR="00DA30A5" w:rsidSect="00784F55">
      <w:footerReference w:type="default" r:id="rId11"/>
      <w:pgSz w:w="12240" w:h="15840"/>
      <w:pgMar w:top="720" w:right="720" w:bottom="72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Normal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79" w:rsidRPr="00F059FC" w:rsidRDefault="00784F55" w:rsidP="004930D4">
    <w:pPr>
      <w:pStyle w:val="Footer"/>
      <w:framePr w:wrap="around" w:vAnchor="text" w:hAnchor="page" w:x="5969" w:y="9"/>
      <w:rPr>
        <w:rStyle w:val="PageNumber"/>
        <w:color w:val="FFFFFF"/>
      </w:rPr>
    </w:pPr>
    <w:r w:rsidRPr="00F059FC">
      <w:rPr>
        <w:rStyle w:val="PageNumber"/>
        <w:color w:val="FFFFFF"/>
      </w:rPr>
      <w:fldChar w:fldCharType="begin"/>
    </w:r>
    <w:r w:rsidRPr="00F059FC">
      <w:rPr>
        <w:rStyle w:val="PageNumber"/>
        <w:color w:val="FFFFFF"/>
      </w:rPr>
      <w:instrText xml:space="preserve">PAGE  </w:instrText>
    </w:r>
    <w:r w:rsidRPr="00F059FC">
      <w:rPr>
        <w:rStyle w:val="PageNumber"/>
        <w:color w:val="FFFFFF"/>
      </w:rPr>
      <w:fldChar w:fldCharType="separate"/>
    </w:r>
    <w:r>
      <w:rPr>
        <w:rStyle w:val="PageNumber"/>
        <w:noProof/>
        <w:color w:val="FFFFFF"/>
      </w:rPr>
      <w:t>6</w:t>
    </w:r>
    <w:r w:rsidRPr="00F059FC">
      <w:rPr>
        <w:rStyle w:val="PageNumber"/>
        <w:color w:val="FFFFFF"/>
      </w:rPr>
      <w:fldChar w:fldCharType="end"/>
    </w:r>
  </w:p>
  <w:p w:rsidR="00DF7D79" w:rsidRPr="00946F4E" w:rsidRDefault="00784F55" w:rsidP="007E3A13">
    <w:pPr>
      <w:pStyle w:val="Footer"/>
      <w:tabs>
        <w:tab w:val="clear" w:pos="4320"/>
        <w:tab w:val="clear" w:pos="8640"/>
        <w:tab w:val="left" w:pos="1068"/>
      </w:tabs>
      <w:ind w:firstLine="360"/>
      <w:rPr>
        <w:color w:val="FFFFFF" w:themeColor="background1"/>
      </w:rPr>
    </w:pPr>
    <w:r>
      <w:rPr>
        <w:noProof/>
        <w:color w:val="FFFFFF" w:themeColor="background1"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59FC2" wp14:editId="6DBEC857">
              <wp:simplePos x="0" y="0"/>
              <wp:positionH relativeFrom="column">
                <wp:posOffset>-577215</wp:posOffset>
              </wp:positionH>
              <wp:positionV relativeFrom="paragraph">
                <wp:posOffset>-181610</wp:posOffset>
              </wp:positionV>
              <wp:extent cx="7877175" cy="957580"/>
              <wp:effectExtent l="0" t="0" r="9525" b="33020"/>
              <wp:wrapNone/>
              <wp:docPr id="4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7175" cy="95758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7DC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4ECA6" id="Rectangle 42" o:spid="_x0000_s1026" style="position:absolute;margin-left:-45.45pt;margin-top:-14.3pt;width:620.25pt;height:7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" fillcolor="#548dd4" stroked="f" strokecolor="#007dc3" strokeweight="1.5pt">
              <v:shadow on="t" opacity="22938f" offset="0"/>
              <v:textbox inset=",7.2pt,,7.2pt"/>
            </v:rect>
          </w:pict>
        </mc:Fallback>
      </mc:AlternateContent>
    </w:r>
    <w:r>
      <w:rPr>
        <w:noProof/>
        <w:color w:val="FFFFFF" w:themeColor="background1"/>
        <w:lang w:bidi="ar-SA"/>
      </w:rPr>
      <w:t xml:space="preserve">                                                                                                                                                     </w:t>
    </w:r>
    <w:r>
      <w:rPr>
        <w:color w:val="FFFFFF" w:themeColor="background1"/>
      </w:rPr>
      <w:t>LAB 5 – Association Rules</w:t>
    </w:r>
    <w:r w:rsidRPr="00946F4E">
      <w:rPr>
        <w:color w:val="FFFFFF" w:themeColor="background1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3F7"/>
    <w:multiLevelType w:val="hybridMultilevel"/>
    <w:tmpl w:val="5D7A828C"/>
    <w:lvl w:ilvl="0" w:tplc="F250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5129E"/>
    <w:multiLevelType w:val="hybridMultilevel"/>
    <w:tmpl w:val="CAA6DCE0"/>
    <w:lvl w:ilvl="0" w:tplc="CF96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B67179"/>
    <w:multiLevelType w:val="hybridMultilevel"/>
    <w:tmpl w:val="43A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50461"/>
    <w:multiLevelType w:val="hybridMultilevel"/>
    <w:tmpl w:val="74E03ECC"/>
    <w:lvl w:ilvl="0" w:tplc="69E0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B62695"/>
    <w:multiLevelType w:val="multilevel"/>
    <w:tmpl w:val="DD3C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E8D6333"/>
    <w:multiLevelType w:val="hybridMultilevel"/>
    <w:tmpl w:val="C2E0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F5668"/>
    <w:multiLevelType w:val="hybridMultilevel"/>
    <w:tmpl w:val="D934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55"/>
    <w:rsid w:val="00784F55"/>
    <w:rsid w:val="00D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D22A-531B-4A04-A0C6-566C5EF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F55"/>
    <w:pPr>
      <w:spacing w:after="200" w:line="276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55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4F55"/>
    <w:pPr>
      <w:keepNext/>
      <w:keepLines/>
      <w:spacing w:before="200" w:after="0"/>
      <w:jc w:val="center"/>
      <w:outlineLvl w:val="2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55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84F55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Header">
    <w:name w:val="header"/>
    <w:basedOn w:val="Normal"/>
    <w:link w:val="HeaderChar"/>
    <w:unhideWhenUsed/>
    <w:rsid w:val="00784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4F55"/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84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55"/>
    <w:rPr>
      <w:rFonts w:ascii="Calibri" w:eastAsia="Times New Roman" w:hAnsi="Calibri" w:cs="Courier New"/>
      <w:color w:val="000000" w:themeColor="text1"/>
      <w:lang w:eastAsia="en-US" w:bidi="en-US"/>
    </w:rPr>
  </w:style>
  <w:style w:type="character" w:styleId="PageNumber">
    <w:name w:val="page number"/>
    <w:basedOn w:val="DefaultParagraphFont"/>
    <w:rsid w:val="00784F55"/>
  </w:style>
  <w:style w:type="paragraph" w:styleId="BodyText">
    <w:name w:val="Body Text"/>
    <w:basedOn w:val="Normal"/>
    <w:link w:val="BodyTextChar"/>
    <w:rsid w:val="00784F55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784F55"/>
    <w:rPr>
      <w:rFonts w:ascii="Arial" w:eastAsia="Times New Roman" w:hAnsi="Arial" w:cs="Courier New"/>
      <w:color w:val="000000" w:themeColor="text1"/>
      <w:szCs w:val="20"/>
      <w:lang w:eastAsia="en-US" w:bidi="en-US"/>
    </w:rPr>
  </w:style>
  <w:style w:type="character" w:styleId="Hyperlink">
    <w:name w:val="Hyperlink"/>
    <w:basedOn w:val="DefaultParagraphFont"/>
    <w:uiPriority w:val="99"/>
    <w:rsid w:val="00784F55"/>
    <w:rPr>
      <w:color w:val="0000FF"/>
      <w:u w:val="single"/>
    </w:rPr>
  </w:style>
  <w:style w:type="character" w:customStyle="1" w:styleId="BodyText-MetaNormalLF-Roman10pt">
    <w:name w:val="Body Text-MetaNormalLF-Roman10 pt"/>
    <w:basedOn w:val="DefaultParagraphFont"/>
    <w:qFormat/>
    <w:rsid w:val="00784F55"/>
    <w:rPr>
      <w:rFonts w:ascii="MetaNormalLF-Roman" w:hAnsi="MetaNormalLF-Roman"/>
      <w:sz w:val="20"/>
    </w:rPr>
  </w:style>
  <w:style w:type="character" w:styleId="Emphasis">
    <w:name w:val="Emphasis"/>
    <w:basedOn w:val="DefaultParagraphFont"/>
    <w:uiPriority w:val="20"/>
    <w:qFormat/>
    <w:rsid w:val="00784F55"/>
    <w:rPr>
      <w:i/>
      <w:iCs/>
    </w:rPr>
  </w:style>
  <w:style w:type="paragraph" w:styleId="NoSpacing">
    <w:name w:val="No Spacing"/>
    <w:uiPriority w:val="1"/>
    <w:qFormat/>
    <w:rsid w:val="00784F55"/>
    <w:pPr>
      <w:spacing w:after="0" w:line="240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ListParagraph">
    <w:name w:val="List Paragraph"/>
    <w:basedOn w:val="Normal"/>
    <w:uiPriority w:val="34"/>
    <w:qFormat/>
    <w:rsid w:val="00784F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F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F55"/>
    <w:rPr>
      <w:rFonts w:ascii="Courier New" w:eastAsia="Times New Roman" w:hAnsi="Courier New" w:cs="Courier New"/>
      <w:color w:val="000000" w:themeColor="text1"/>
      <w:sz w:val="20"/>
      <w:szCs w:val="20"/>
      <w:lang w:eastAsia="en-US"/>
    </w:rPr>
  </w:style>
  <w:style w:type="character" w:customStyle="1" w:styleId="gd40030ccr">
    <w:name w:val="gd40030ccr"/>
    <w:basedOn w:val="DefaultParagraphFont"/>
    <w:rsid w:val="00784F55"/>
  </w:style>
  <w:style w:type="character" w:customStyle="1" w:styleId="gd40030cor">
    <w:name w:val="gd40030cor"/>
    <w:basedOn w:val="DefaultParagraphFont"/>
    <w:rsid w:val="00784F55"/>
  </w:style>
  <w:style w:type="character" w:styleId="HTMLCode">
    <w:name w:val="HTML Code"/>
    <w:basedOn w:val="DefaultParagraphFont"/>
    <w:uiPriority w:val="99"/>
    <w:unhideWhenUsed/>
    <w:rsid w:val="00784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hyperlink" Target="http://rss.acs.unt.edu/Rdoc/library/arules/html/Groceries.html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BA743C-7DF8-48B5-822E-527E7E1D1B4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F0BF9-E84B-49D7-87DF-CFFCED52DB7E}">
      <dgm:prSet phldrT="[Text]" custT="1"/>
      <dgm:spPr/>
      <dgm:t>
        <a:bodyPr/>
        <a:lstStyle/>
        <a:p>
          <a:r>
            <a:rPr lang="en-US" sz="1200"/>
            <a:t>1</a:t>
          </a:r>
        </a:p>
      </dgm:t>
    </dgm:pt>
    <dgm:pt modelId="{432A8833-EBFC-4AAC-96FA-0B6B3F9DDAB3}" type="parTrans" cxnId="{B7FCB47C-85BA-4590-A39A-A036C8F86CCA}">
      <dgm:prSet/>
      <dgm:spPr/>
      <dgm:t>
        <a:bodyPr/>
        <a:lstStyle/>
        <a:p>
          <a:endParaRPr lang="en-US"/>
        </a:p>
      </dgm:t>
    </dgm:pt>
    <dgm:pt modelId="{D6B7B547-FB10-467D-932E-2A70B4C3666F}" type="sibTrans" cxnId="{B7FCB47C-85BA-4590-A39A-A036C8F86CCA}">
      <dgm:prSet/>
      <dgm:spPr/>
      <dgm:t>
        <a:bodyPr/>
        <a:lstStyle/>
        <a:p>
          <a:endParaRPr lang="en-US"/>
        </a:p>
      </dgm:t>
    </dgm:pt>
    <dgm:pt modelId="{227CB006-BA11-40C7-B654-E161BD78B067}">
      <dgm:prSet phldrT="[Text]" custT="1"/>
      <dgm:spPr/>
      <dgm:t>
        <a:bodyPr/>
        <a:lstStyle/>
        <a:p>
          <a:r>
            <a:rPr lang="en-US" sz="1200"/>
            <a:t>Set the Working Directory and install the “arules”  and "arulesViz" package</a:t>
          </a:r>
        </a:p>
      </dgm:t>
    </dgm:pt>
    <dgm:pt modelId="{E508AD3C-7788-4F30-9049-80A2719B3E6F}" type="parTrans" cxnId="{20E0347D-B7EA-458B-A40E-6D94A2037E34}">
      <dgm:prSet/>
      <dgm:spPr/>
      <dgm:t>
        <a:bodyPr/>
        <a:lstStyle/>
        <a:p>
          <a:endParaRPr lang="en-US"/>
        </a:p>
      </dgm:t>
    </dgm:pt>
    <dgm:pt modelId="{C04D11EE-EB0E-4777-A1C2-4A2BF5C31967}" type="sibTrans" cxnId="{20E0347D-B7EA-458B-A40E-6D94A2037E34}">
      <dgm:prSet/>
      <dgm:spPr/>
      <dgm:t>
        <a:bodyPr/>
        <a:lstStyle/>
        <a:p>
          <a:endParaRPr lang="en-US"/>
        </a:p>
      </dgm:t>
    </dgm:pt>
    <dgm:pt modelId="{4ACFA5E5-75C4-4797-AFC9-0E0ED26D747F}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B5258380-80E7-485F-882F-82DA8951A328}" type="parTrans" cxnId="{77D52631-D856-4C5F-80A4-4A5D35A36A66}">
      <dgm:prSet/>
      <dgm:spPr/>
      <dgm:t>
        <a:bodyPr/>
        <a:lstStyle/>
        <a:p>
          <a:endParaRPr lang="en-US"/>
        </a:p>
      </dgm:t>
    </dgm:pt>
    <dgm:pt modelId="{A1769191-4360-4754-B83C-450D8EF3F32C}" type="sibTrans" cxnId="{77D52631-D856-4C5F-80A4-4A5D35A36A66}">
      <dgm:prSet/>
      <dgm:spPr/>
      <dgm:t>
        <a:bodyPr/>
        <a:lstStyle/>
        <a:p>
          <a:endParaRPr lang="en-US"/>
        </a:p>
      </dgm:t>
    </dgm:pt>
    <dgm:pt modelId="{CFF10B85-4057-43D9-8C02-53A135C50E38}">
      <dgm:prSet phldrT="[Text]" custT="1"/>
      <dgm:spPr/>
      <dgm:t>
        <a:bodyPr/>
        <a:lstStyle/>
        <a:p>
          <a:r>
            <a:rPr lang="en-US" sz="1200"/>
            <a:t>3</a:t>
          </a:r>
        </a:p>
      </dgm:t>
    </dgm:pt>
    <dgm:pt modelId="{2B4AFF55-AFDB-455A-9D18-A0372395B66E}" type="parTrans" cxnId="{0D50860D-79BC-4214-87A2-160F2A30AF6D}">
      <dgm:prSet/>
      <dgm:spPr/>
      <dgm:t>
        <a:bodyPr/>
        <a:lstStyle/>
        <a:p>
          <a:endParaRPr lang="en-US"/>
        </a:p>
      </dgm:t>
    </dgm:pt>
    <dgm:pt modelId="{B0F96C74-E8C2-40FF-AFE6-A4DD7356BB17}" type="sibTrans" cxnId="{0D50860D-79BC-4214-87A2-160F2A30AF6D}">
      <dgm:prSet/>
      <dgm:spPr/>
      <dgm:t>
        <a:bodyPr/>
        <a:lstStyle/>
        <a:p>
          <a:endParaRPr lang="en-US"/>
        </a:p>
      </dgm:t>
    </dgm:pt>
    <dgm:pt modelId="{283A7526-9AF3-4F9F-A50C-04A3EED7C9E7}">
      <dgm:prSet phldrT="[Text]" custT="1"/>
      <dgm:spPr/>
      <dgm:t>
        <a:bodyPr/>
        <a:lstStyle/>
        <a:p>
          <a:r>
            <a:rPr lang="en-US" sz="1200"/>
            <a:t>Review Transaction data</a:t>
          </a:r>
        </a:p>
      </dgm:t>
    </dgm:pt>
    <dgm:pt modelId="{8D5B8183-9A97-4940-AC26-6BECD107C045}" type="parTrans" cxnId="{0B4A3BD6-B024-4787-AB6E-F2BE58748393}">
      <dgm:prSet/>
      <dgm:spPr/>
      <dgm:t>
        <a:bodyPr/>
        <a:lstStyle/>
        <a:p>
          <a:endParaRPr lang="en-US"/>
        </a:p>
      </dgm:t>
    </dgm:pt>
    <dgm:pt modelId="{D32D6A55-5423-4A9E-9227-A94BB0AB74B3}" type="sibTrans" cxnId="{0B4A3BD6-B024-4787-AB6E-F2BE58748393}">
      <dgm:prSet/>
      <dgm:spPr/>
      <dgm:t>
        <a:bodyPr/>
        <a:lstStyle/>
        <a:p>
          <a:endParaRPr lang="en-US"/>
        </a:p>
      </dgm:t>
    </dgm:pt>
    <dgm:pt modelId="{62E3A7F4-1070-4127-9E44-20E58509EC45}">
      <dgm:prSet phldrT="[Text]" custT="1"/>
      <dgm:spPr/>
      <dgm:t>
        <a:bodyPr/>
        <a:lstStyle/>
        <a:p>
          <a:r>
            <a:rPr lang="en-US" sz="1200"/>
            <a:t>4</a:t>
          </a:r>
        </a:p>
      </dgm:t>
    </dgm:pt>
    <dgm:pt modelId="{715E2BFC-B8BA-4115-881A-E2670CC81A36}" type="parTrans" cxnId="{4A173D10-98D9-4F62-9F91-DF739777CAF1}">
      <dgm:prSet/>
      <dgm:spPr/>
      <dgm:t>
        <a:bodyPr/>
        <a:lstStyle/>
        <a:p>
          <a:endParaRPr lang="en-US"/>
        </a:p>
      </dgm:t>
    </dgm:pt>
    <dgm:pt modelId="{4494D9B5-CB4A-48A4-A674-8897A9EAAC47}" type="sibTrans" cxnId="{4A173D10-98D9-4F62-9F91-DF739777CAF1}">
      <dgm:prSet/>
      <dgm:spPr/>
      <dgm:t>
        <a:bodyPr/>
        <a:lstStyle/>
        <a:p>
          <a:endParaRPr lang="en-US"/>
        </a:p>
      </dgm:t>
    </dgm:pt>
    <dgm:pt modelId="{5B33CDE8-17D9-406A-ADA0-BE5AA000CBB8}">
      <dgm:prSet phldrT="[Text]" custT="1"/>
      <dgm:spPr/>
      <dgm:t>
        <a:bodyPr/>
        <a:lstStyle/>
        <a:p>
          <a:r>
            <a:rPr lang="en-US" sz="1200"/>
            <a:t>Plot Transactions</a:t>
          </a:r>
        </a:p>
      </dgm:t>
    </dgm:pt>
    <dgm:pt modelId="{53028A73-B59F-4A2C-BE51-B8724A578CED}" type="parTrans" cxnId="{2D00A54F-3B50-4B81-8582-16424158BC7D}">
      <dgm:prSet/>
      <dgm:spPr/>
      <dgm:t>
        <a:bodyPr/>
        <a:lstStyle/>
        <a:p>
          <a:endParaRPr lang="en-US"/>
        </a:p>
      </dgm:t>
    </dgm:pt>
    <dgm:pt modelId="{44665726-89FE-44B5-8E00-EA6CE75C9FD3}" type="sibTrans" cxnId="{2D00A54F-3B50-4B81-8582-16424158BC7D}">
      <dgm:prSet/>
      <dgm:spPr/>
      <dgm:t>
        <a:bodyPr/>
        <a:lstStyle/>
        <a:p>
          <a:endParaRPr lang="en-US"/>
        </a:p>
      </dgm:t>
    </dgm:pt>
    <dgm:pt modelId="{C8AD756C-C70E-462B-9AA3-BCE57C3E9A46}">
      <dgm:prSet phldrT="[Text]" custT="1"/>
      <dgm:spPr/>
      <dgm:t>
        <a:bodyPr/>
        <a:lstStyle/>
        <a:p>
          <a:r>
            <a:rPr lang="en-US" sz="1200"/>
            <a:t>5</a:t>
          </a:r>
        </a:p>
      </dgm:t>
    </dgm:pt>
    <dgm:pt modelId="{E4607245-0E44-4169-A8DA-99BC671D9F43}" type="parTrans" cxnId="{00761174-E4B9-4CC3-A2DE-5AF755B88009}">
      <dgm:prSet/>
      <dgm:spPr/>
      <dgm:t>
        <a:bodyPr/>
        <a:lstStyle/>
        <a:p>
          <a:endParaRPr lang="en-US"/>
        </a:p>
      </dgm:t>
    </dgm:pt>
    <dgm:pt modelId="{960EB163-D733-4265-A646-C3C4299A1AEA}" type="sibTrans" cxnId="{00761174-E4B9-4CC3-A2DE-5AF755B88009}">
      <dgm:prSet/>
      <dgm:spPr/>
      <dgm:t>
        <a:bodyPr/>
        <a:lstStyle/>
        <a:p>
          <a:endParaRPr lang="en-US"/>
        </a:p>
      </dgm:t>
    </dgm:pt>
    <dgm:pt modelId="{2ACE588D-EA70-4364-8307-2C2E7A0C20FD}">
      <dgm:prSet phldrT="[Text]" custT="1"/>
      <dgm:spPr/>
      <dgm:t>
        <a:bodyPr/>
        <a:lstStyle/>
        <a:p>
          <a:r>
            <a:rPr lang="en-US" sz="1200"/>
            <a:t>Read in the Data for Modeling</a:t>
          </a:r>
        </a:p>
      </dgm:t>
    </dgm:pt>
    <dgm:pt modelId="{1B52B768-E22A-4CFC-B0BF-1FF2F7BA32CE}" type="parTrans" cxnId="{12A81196-7B2E-4E55-A682-0C57C02CC506}">
      <dgm:prSet/>
      <dgm:spPr/>
      <dgm:t>
        <a:bodyPr/>
        <a:lstStyle/>
        <a:p>
          <a:endParaRPr lang="en-US"/>
        </a:p>
      </dgm:t>
    </dgm:pt>
    <dgm:pt modelId="{C20908D5-D2F5-4393-979C-F034520AA27B}" type="sibTrans" cxnId="{12A81196-7B2E-4E55-A682-0C57C02CC506}">
      <dgm:prSet/>
      <dgm:spPr/>
      <dgm:t>
        <a:bodyPr/>
        <a:lstStyle/>
        <a:p>
          <a:endParaRPr lang="en-US"/>
        </a:p>
      </dgm:t>
    </dgm:pt>
    <dgm:pt modelId="{1F42E21D-1309-44D4-A5A9-4D53F6991551}">
      <dgm:prSet phldrT="[Text]" custT="1"/>
      <dgm:spPr/>
      <dgm:t>
        <a:bodyPr/>
        <a:lstStyle/>
        <a:p>
          <a:r>
            <a:rPr lang="en-US" sz="1200"/>
            <a:t>Mine the Association Rules</a:t>
          </a:r>
        </a:p>
      </dgm:t>
    </dgm:pt>
    <dgm:pt modelId="{12D27B87-523B-4956-A866-1360FDD4EADA}" type="parTrans" cxnId="{69055FEE-CA40-4A2A-9EB1-0CD12C9E17AF}">
      <dgm:prSet/>
      <dgm:spPr/>
      <dgm:t>
        <a:bodyPr/>
        <a:lstStyle/>
        <a:p>
          <a:endParaRPr lang="en-US"/>
        </a:p>
      </dgm:t>
    </dgm:pt>
    <dgm:pt modelId="{614993ED-8056-49AF-BFD6-3C5EB58829BF}" type="sibTrans" cxnId="{69055FEE-CA40-4A2A-9EB1-0CD12C9E17AF}">
      <dgm:prSet/>
      <dgm:spPr/>
      <dgm:t>
        <a:bodyPr/>
        <a:lstStyle/>
        <a:p>
          <a:endParaRPr lang="en-US"/>
        </a:p>
      </dgm:t>
    </dgm:pt>
    <dgm:pt modelId="{2109B953-4E28-450D-B68D-BC64102362ED}">
      <dgm:prSet phldrT="[Text]" custT="1"/>
      <dgm:spPr/>
      <dgm:t>
        <a:bodyPr/>
        <a:lstStyle/>
        <a:p>
          <a:r>
            <a:rPr lang="en-US" sz="1200"/>
            <a:t>6</a:t>
          </a:r>
        </a:p>
      </dgm:t>
    </dgm:pt>
    <dgm:pt modelId="{9FC4AE15-B2E8-4A4E-BD7E-9DEFFECFD0D2}" type="parTrans" cxnId="{E27A04B8-CBBC-4830-9993-2A485B68B80F}">
      <dgm:prSet/>
      <dgm:spPr/>
      <dgm:t>
        <a:bodyPr/>
        <a:lstStyle/>
        <a:p>
          <a:endParaRPr lang="en-US"/>
        </a:p>
      </dgm:t>
    </dgm:pt>
    <dgm:pt modelId="{EC477FFD-B4A5-4909-B9A3-CB6C3EF80D0C}" type="sibTrans" cxnId="{E27A04B8-CBBC-4830-9993-2A485B68B80F}">
      <dgm:prSet/>
      <dgm:spPr/>
      <dgm:t>
        <a:bodyPr/>
        <a:lstStyle/>
        <a:p>
          <a:endParaRPr lang="en-US"/>
        </a:p>
      </dgm:t>
    </dgm:pt>
    <dgm:pt modelId="{649A399F-0AE4-4602-AF99-83CAFDA63928}">
      <dgm:prSet phldrT="[Text]" custT="1"/>
      <dgm:spPr/>
      <dgm:t>
        <a:bodyPr/>
        <a:lstStyle/>
        <a:p>
          <a:r>
            <a:rPr lang="en-US" sz="1200"/>
            <a:t>Read in Groceries dataset</a:t>
          </a:r>
        </a:p>
      </dgm:t>
    </dgm:pt>
    <dgm:pt modelId="{31BBE68E-B3DC-4136-9770-27A00E6B080A}" type="parTrans" cxnId="{AEB34B7C-9BF1-45B2-B4B9-9AEA506EE88E}">
      <dgm:prSet/>
      <dgm:spPr/>
      <dgm:t>
        <a:bodyPr/>
        <a:lstStyle/>
        <a:p>
          <a:endParaRPr lang="en-US"/>
        </a:p>
      </dgm:t>
    </dgm:pt>
    <dgm:pt modelId="{3DB3883F-B22A-4C77-8266-A045BCE1F0F0}" type="sibTrans" cxnId="{AEB34B7C-9BF1-45B2-B4B9-9AEA506EE88E}">
      <dgm:prSet/>
      <dgm:spPr/>
      <dgm:t>
        <a:bodyPr/>
        <a:lstStyle/>
        <a:p>
          <a:endParaRPr lang="en-US"/>
        </a:p>
      </dgm:t>
    </dgm:pt>
    <dgm:pt modelId="{6DE3529D-9C2F-4AD4-ABCA-500B7DC77052}">
      <dgm:prSet phldrT="[Text]" custT="1"/>
      <dgm:spPr/>
      <dgm:t>
        <a:bodyPr/>
        <a:lstStyle/>
        <a:p>
          <a:r>
            <a:rPr lang="en-US" sz="1200"/>
            <a:t>7</a:t>
          </a:r>
        </a:p>
      </dgm:t>
    </dgm:pt>
    <dgm:pt modelId="{84339609-D0EC-495E-9E6F-FE7B1EA32AF1}" type="parTrans" cxnId="{E01594F9-6925-436D-8E6E-4CC0CE3E2D35}">
      <dgm:prSet/>
      <dgm:spPr/>
      <dgm:t>
        <a:bodyPr/>
        <a:lstStyle/>
        <a:p>
          <a:endParaRPr lang="en-US"/>
        </a:p>
      </dgm:t>
    </dgm:pt>
    <dgm:pt modelId="{7E93EB83-D0A6-4568-BEDF-CA5B0F35B889}" type="sibTrans" cxnId="{E01594F9-6925-436D-8E6E-4CC0CE3E2D35}">
      <dgm:prSet/>
      <dgm:spPr/>
      <dgm:t>
        <a:bodyPr/>
        <a:lstStyle/>
        <a:p>
          <a:endParaRPr lang="en-US"/>
        </a:p>
      </dgm:t>
    </dgm:pt>
    <dgm:pt modelId="{714D354F-D92A-4E96-9B5D-2D1ECE6B79E3}">
      <dgm:prSet phldrT="[Text]" custT="1"/>
      <dgm:spPr/>
      <dgm:t>
        <a:bodyPr/>
        <a:lstStyle/>
        <a:p>
          <a:r>
            <a:rPr lang="en-US" sz="1200"/>
            <a:t>Mine the Rules for the Groceries Data and Visualize results</a:t>
          </a:r>
        </a:p>
      </dgm:t>
    </dgm:pt>
    <dgm:pt modelId="{567689A2-23B4-4452-9F71-5873D7EE0D50}" type="parTrans" cxnId="{BE6CE87E-07FB-46DA-9DC1-4F5FF906BE9E}">
      <dgm:prSet/>
      <dgm:spPr/>
      <dgm:t>
        <a:bodyPr/>
        <a:lstStyle/>
        <a:p>
          <a:endParaRPr lang="en-US"/>
        </a:p>
      </dgm:t>
    </dgm:pt>
    <dgm:pt modelId="{0468C258-9279-4C26-AA07-5F62CF6A9B3C}" type="sibTrans" cxnId="{BE6CE87E-07FB-46DA-9DC1-4F5FF906BE9E}">
      <dgm:prSet/>
      <dgm:spPr/>
      <dgm:t>
        <a:bodyPr/>
        <a:lstStyle/>
        <a:p>
          <a:endParaRPr lang="en-US"/>
        </a:p>
      </dgm:t>
    </dgm:pt>
    <dgm:pt modelId="{34815BB4-1718-4380-B2D8-52CBD8C744C9}">
      <dgm:prSet phldrT="[Text]" custT="1"/>
      <dgm:spPr/>
      <dgm:t>
        <a:bodyPr/>
        <a:lstStyle/>
        <a:p>
          <a:r>
            <a:rPr lang="en-US" sz="1200"/>
            <a:t>8</a:t>
          </a:r>
        </a:p>
      </dgm:t>
    </dgm:pt>
    <dgm:pt modelId="{D2110A9F-EF73-4031-A116-14390DFA6A3C}" type="parTrans" cxnId="{D0B8F56E-0AB3-4431-8B31-90A25F4F7BC9}">
      <dgm:prSet/>
      <dgm:spPr/>
      <dgm:t>
        <a:bodyPr/>
        <a:lstStyle/>
        <a:p>
          <a:endParaRPr lang="en-US"/>
        </a:p>
      </dgm:t>
    </dgm:pt>
    <dgm:pt modelId="{2B70721C-23A8-44FB-B75F-B264DDBBC737}" type="sibTrans" cxnId="{D0B8F56E-0AB3-4431-8B31-90A25F4F7BC9}">
      <dgm:prSet/>
      <dgm:spPr/>
      <dgm:t>
        <a:bodyPr/>
        <a:lstStyle/>
        <a:p>
          <a:endParaRPr lang="en-US"/>
        </a:p>
      </dgm:t>
    </dgm:pt>
    <dgm:pt modelId="{F9C9DB4A-F792-4895-84DD-723841ED8BF5}">
      <dgm:prSet phldrT="[Text]" custT="1"/>
      <dgm:spPr/>
      <dgm:t>
        <a:bodyPr/>
        <a:lstStyle/>
        <a:p>
          <a:r>
            <a:rPr lang="en-US" sz="1200"/>
            <a:t>Extract the Rules in which the Confidence Value is &gt;0.8 and high lift and visualize resuts</a:t>
          </a:r>
        </a:p>
      </dgm:t>
    </dgm:pt>
    <dgm:pt modelId="{6EB72560-BA25-46BC-9837-CC2B71FD55F9}" type="parTrans" cxnId="{024B3B85-DF2B-4530-BA4F-2249945E4E79}">
      <dgm:prSet/>
      <dgm:spPr/>
      <dgm:t>
        <a:bodyPr/>
        <a:lstStyle/>
        <a:p>
          <a:endParaRPr lang="en-US"/>
        </a:p>
      </dgm:t>
    </dgm:pt>
    <dgm:pt modelId="{CF72A379-C1C7-46BE-81A6-DABAA4A854B1}" type="sibTrans" cxnId="{024B3B85-DF2B-4530-BA4F-2249945E4E79}">
      <dgm:prSet/>
      <dgm:spPr/>
      <dgm:t>
        <a:bodyPr/>
        <a:lstStyle/>
        <a:p>
          <a:endParaRPr lang="en-US"/>
        </a:p>
      </dgm:t>
    </dgm:pt>
    <dgm:pt modelId="{B97EB317-2473-4DCD-80E7-50B7A89B2F96}" type="pres">
      <dgm:prSet presAssocID="{46BA743C-7DF8-48B5-822E-527E7E1D1B4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FCB26E-9F4F-4BD9-BB8F-DA511E7A1292}" type="pres">
      <dgm:prSet presAssocID="{7FFF0BF9-E84B-49D7-87DF-CFFCED52DB7E}" presName="composite" presStyleCnt="0"/>
      <dgm:spPr/>
    </dgm:pt>
    <dgm:pt modelId="{B02F16C6-4EA1-4A31-B183-7E7D97642127}" type="pres">
      <dgm:prSet presAssocID="{7FFF0BF9-E84B-49D7-87DF-CFFCED52DB7E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2F61A5-0D3C-4FBA-A6B9-58EA76B9D6BE}" type="pres">
      <dgm:prSet presAssocID="{7FFF0BF9-E84B-49D7-87DF-CFFCED52DB7E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63C71A-38A7-4761-A1C8-15AFE2CBDBAC}" type="pres">
      <dgm:prSet presAssocID="{D6B7B547-FB10-467D-932E-2A70B4C3666F}" presName="sp" presStyleCnt="0"/>
      <dgm:spPr/>
    </dgm:pt>
    <dgm:pt modelId="{AE6B24AE-3A13-44E7-A114-E210D6A2FF42}" type="pres">
      <dgm:prSet presAssocID="{4ACFA5E5-75C4-4797-AFC9-0E0ED26D747F}" presName="composite" presStyleCnt="0"/>
      <dgm:spPr/>
    </dgm:pt>
    <dgm:pt modelId="{20C327AA-6EAB-40F8-B5A9-3824D8F3C0F2}" type="pres">
      <dgm:prSet presAssocID="{4ACFA5E5-75C4-4797-AFC9-0E0ED26D747F}" presName="parentText" presStyleLbl="align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7DAC0-ECA3-4ED8-9058-1CF6DC3045AE}" type="pres">
      <dgm:prSet presAssocID="{4ACFA5E5-75C4-4797-AFC9-0E0ED26D747F}" presName="descendantText" presStyleLbl="alignAcc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780291-B5AA-4EAB-829A-815053475D72}" type="pres">
      <dgm:prSet presAssocID="{A1769191-4360-4754-B83C-450D8EF3F32C}" presName="sp" presStyleCnt="0"/>
      <dgm:spPr/>
    </dgm:pt>
    <dgm:pt modelId="{81211C0A-7DFE-48C6-9177-900350FB8CCA}" type="pres">
      <dgm:prSet presAssocID="{CFF10B85-4057-43D9-8C02-53A135C50E38}" presName="composite" presStyleCnt="0"/>
      <dgm:spPr/>
    </dgm:pt>
    <dgm:pt modelId="{B8A83EC6-6956-48D4-B93C-EDC133FD6A25}" type="pres">
      <dgm:prSet presAssocID="{CFF10B85-4057-43D9-8C02-53A135C50E38}" presName="parentText" presStyleLbl="align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7576C-5FEB-4BD4-9DF4-2EC2EA267C68}" type="pres">
      <dgm:prSet presAssocID="{CFF10B85-4057-43D9-8C02-53A135C50E38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B8246-8380-4F3D-81F0-9878285504E5}" type="pres">
      <dgm:prSet presAssocID="{B0F96C74-E8C2-40FF-AFE6-A4DD7356BB17}" presName="sp" presStyleCnt="0"/>
      <dgm:spPr/>
    </dgm:pt>
    <dgm:pt modelId="{CFDA0F2A-E23E-4E94-AF42-A519F482FF05}" type="pres">
      <dgm:prSet presAssocID="{62E3A7F4-1070-4127-9E44-20E58509EC45}" presName="composite" presStyleCnt="0"/>
      <dgm:spPr/>
    </dgm:pt>
    <dgm:pt modelId="{323CD1DC-49A9-4E41-969E-6D2F12598F5F}" type="pres">
      <dgm:prSet presAssocID="{62E3A7F4-1070-4127-9E44-20E58509EC45}" presName="parentText" presStyleLbl="align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172C3-16D9-4D37-A950-121178F1AC2A}" type="pres">
      <dgm:prSet presAssocID="{62E3A7F4-1070-4127-9E44-20E58509EC45}" presName="descendantText" presStyleLbl="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661C22-8231-448D-934D-74F3CDB043FB}" type="pres">
      <dgm:prSet presAssocID="{4494D9B5-CB4A-48A4-A674-8897A9EAAC47}" presName="sp" presStyleCnt="0"/>
      <dgm:spPr/>
    </dgm:pt>
    <dgm:pt modelId="{96326318-A1FA-4EA1-B1DF-21C339016A9B}" type="pres">
      <dgm:prSet presAssocID="{C8AD756C-C70E-462B-9AA3-BCE57C3E9A46}" presName="composite" presStyleCnt="0"/>
      <dgm:spPr/>
    </dgm:pt>
    <dgm:pt modelId="{D2A0677C-B1FF-4D0E-BAB0-4D937AC4C8AD}" type="pres">
      <dgm:prSet presAssocID="{C8AD756C-C70E-462B-9AA3-BCE57C3E9A46}" presName="parentText" presStyleLbl="align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9BE247-24E6-41F8-BD35-94927E3EFEF0}" type="pres">
      <dgm:prSet presAssocID="{C8AD756C-C70E-462B-9AA3-BCE57C3E9A46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E38A3B-8B0A-40A0-A2CC-43C1CB138539}" type="pres">
      <dgm:prSet presAssocID="{960EB163-D733-4265-A646-C3C4299A1AEA}" presName="sp" presStyleCnt="0"/>
      <dgm:spPr/>
    </dgm:pt>
    <dgm:pt modelId="{E06DA044-09B0-4D5F-BB61-0851A690E362}" type="pres">
      <dgm:prSet presAssocID="{2109B953-4E28-450D-B68D-BC64102362ED}" presName="composite" presStyleCnt="0"/>
      <dgm:spPr/>
    </dgm:pt>
    <dgm:pt modelId="{29B157DD-5ABF-44C7-84DB-D063ACF93A43}" type="pres">
      <dgm:prSet presAssocID="{2109B953-4E28-450D-B68D-BC64102362ED}" presName="parentText" presStyleLbl="align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8F81B5-3AEA-4610-A22F-E987B36CB035}" type="pres">
      <dgm:prSet presAssocID="{2109B953-4E28-450D-B68D-BC64102362ED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70AD1B-D8C7-409C-9D80-FF6C6D980846}" type="pres">
      <dgm:prSet presAssocID="{EC477FFD-B4A5-4909-B9A3-CB6C3EF80D0C}" presName="sp" presStyleCnt="0"/>
      <dgm:spPr/>
    </dgm:pt>
    <dgm:pt modelId="{A226E139-59B4-481E-B779-7A04843D3B54}" type="pres">
      <dgm:prSet presAssocID="{6DE3529D-9C2F-4AD4-ABCA-500B7DC77052}" presName="composite" presStyleCnt="0"/>
      <dgm:spPr/>
    </dgm:pt>
    <dgm:pt modelId="{203499EA-A847-4BF6-ABC2-1453F9CF1A58}" type="pres">
      <dgm:prSet presAssocID="{6DE3529D-9C2F-4AD4-ABCA-500B7DC77052}" presName="parentText" presStyleLbl="align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F646D8-02DD-4CF5-8744-0593178FDE1D}" type="pres">
      <dgm:prSet presAssocID="{6DE3529D-9C2F-4AD4-ABCA-500B7DC77052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36B3A-5542-4937-BCAB-ABAF7FCE40BC}" type="pres">
      <dgm:prSet presAssocID="{7E93EB83-D0A6-4568-BEDF-CA5B0F35B889}" presName="sp" presStyleCnt="0"/>
      <dgm:spPr/>
    </dgm:pt>
    <dgm:pt modelId="{F39624E1-6C25-4975-9DAC-53EF4F8AA629}" type="pres">
      <dgm:prSet presAssocID="{34815BB4-1718-4380-B2D8-52CBD8C744C9}" presName="composite" presStyleCnt="0"/>
      <dgm:spPr/>
    </dgm:pt>
    <dgm:pt modelId="{F9B50929-351E-4AFB-89F9-5C2A31730F56}" type="pres">
      <dgm:prSet presAssocID="{34815BB4-1718-4380-B2D8-52CBD8C744C9}" presName="parentText" presStyleLbl="align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8F5FD-0BCB-489E-92B8-A21E58317251}" type="pres">
      <dgm:prSet presAssocID="{34815BB4-1718-4380-B2D8-52CBD8C744C9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01594F9-6925-436D-8E6E-4CC0CE3E2D35}" srcId="{46BA743C-7DF8-48B5-822E-527E7E1D1B40}" destId="{6DE3529D-9C2F-4AD4-ABCA-500B7DC77052}" srcOrd="6" destOrd="0" parTransId="{84339609-D0EC-495E-9E6F-FE7B1EA32AF1}" sibTransId="{7E93EB83-D0A6-4568-BEDF-CA5B0F35B889}"/>
    <dgm:cxn modelId="{BE6CE87E-07FB-46DA-9DC1-4F5FF906BE9E}" srcId="{6DE3529D-9C2F-4AD4-ABCA-500B7DC77052}" destId="{714D354F-D92A-4E96-9B5D-2D1ECE6B79E3}" srcOrd="0" destOrd="0" parTransId="{567689A2-23B4-4452-9F71-5873D7EE0D50}" sibTransId="{0468C258-9279-4C26-AA07-5F62CF6A9B3C}"/>
    <dgm:cxn modelId="{D28A7C2B-2F68-4D2C-B1C5-1299F255DAA2}" type="presOf" srcId="{C8AD756C-C70E-462B-9AA3-BCE57C3E9A46}" destId="{D2A0677C-B1FF-4D0E-BAB0-4D937AC4C8AD}" srcOrd="0" destOrd="0" presId="urn:microsoft.com/office/officeart/2005/8/layout/chevron2"/>
    <dgm:cxn modelId="{0F50F622-C23F-4D23-A9F1-64D8DF400709}" type="presOf" srcId="{7FFF0BF9-E84B-49D7-87DF-CFFCED52DB7E}" destId="{B02F16C6-4EA1-4A31-B183-7E7D97642127}" srcOrd="0" destOrd="0" presId="urn:microsoft.com/office/officeart/2005/8/layout/chevron2"/>
    <dgm:cxn modelId="{26750288-5076-4174-83AA-65010180AF67}" type="presOf" srcId="{6DE3529D-9C2F-4AD4-ABCA-500B7DC77052}" destId="{203499EA-A847-4BF6-ABC2-1453F9CF1A58}" srcOrd="0" destOrd="0" presId="urn:microsoft.com/office/officeart/2005/8/layout/chevron2"/>
    <dgm:cxn modelId="{12A81196-7B2E-4E55-A682-0C57C02CC506}" srcId="{4ACFA5E5-75C4-4797-AFC9-0E0ED26D747F}" destId="{2ACE588D-EA70-4364-8307-2C2E7A0C20FD}" srcOrd="0" destOrd="0" parTransId="{1B52B768-E22A-4CFC-B0BF-1FF2F7BA32CE}" sibTransId="{C20908D5-D2F5-4393-979C-F034520AA27B}"/>
    <dgm:cxn modelId="{314A9CB8-4676-420A-A623-0C1E8305A819}" type="presOf" srcId="{5B33CDE8-17D9-406A-ADA0-BE5AA000CBB8}" destId="{CE6172C3-16D9-4D37-A950-121178F1AC2A}" srcOrd="0" destOrd="0" presId="urn:microsoft.com/office/officeart/2005/8/layout/chevron2"/>
    <dgm:cxn modelId="{C40B675A-DDD7-4481-B53B-4EF3CB917515}" type="presOf" srcId="{34815BB4-1718-4380-B2D8-52CBD8C744C9}" destId="{F9B50929-351E-4AFB-89F9-5C2A31730F56}" srcOrd="0" destOrd="0" presId="urn:microsoft.com/office/officeart/2005/8/layout/chevron2"/>
    <dgm:cxn modelId="{0D50860D-79BC-4214-87A2-160F2A30AF6D}" srcId="{46BA743C-7DF8-48B5-822E-527E7E1D1B40}" destId="{CFF10B85-4057-43D9-8C02-53A135C50E38}" srcOrd="2" destOrd="0" parTransId="{2B4AFF55-AFDB-455A-9D18-A0372395B66E}" sibTransId="{B0F96C74-E8C2-40FF-AFE6-A4DD7356BB17}"/>
    <dgm:cxn modelId="{024B3B85-DF2B-4530-BA4F-2249945E4E79}" srcId="{34815BB4-1718-4380-B2D8-52CBD8C744C9}" destId="{F9C9DB4A-F792-4895-84DD-723841ED8BF5}" srcOrd="0" destOrd="0" parTransId="{6EB72560-BA25-46BC-9837-CC2B71FD55F9}" sibTransId="{CF72A379-C1C7-46BE-81A6-DABAA4A854B1}"/>
    <dgm:cxn modelId="{913E98EA-3F83-4A95-B053-641852824745}" type="presOf" srcId="{714D354F-D92A-4E96-9B5D-2D1ECE6B79E3}" destId="{34F646D8-02DD-4CF5-8744-0593178FDE1D}" srcOrd="0" destOrd="0" presId="urn:microsoft.com/office/officeart/2005/8/layout/chevron2"/>
    <dgm:cxn modelId="{D3293703-FFA2-40A8-AB1A-D041655B5B59}" type="presOf" srcId="{1F42E21D-1309-44D4-A5A9-4D53F6991551}" destId="{C09BE247-24E6-41F8-BD35-94927E3EFEF0}" srcOrd="0" destOrd="0" presId="urn:microsoft.com/office/officeart/2005/8/layout/chevron2"/>
    <dgm:cxn modelId="{16274BB3-8FD4-4896-8915-5E18087C0AA3}" type="presOf" srcId="{283A7526-9AF3-4F9F-A50C-04A3EED7C9E7}" destId="{C487576C-5FEB-4BD4-9DF4-2EC2EA267C68}" srcOrd="0" destOrd="0" presId="urn:microsoft.com/office/officeart/2005/8/layout/chevron2"/>
    <dgm:cxn modelId="{FFA01F7B-B621-4B78-B68C-AB20F514815E}" type="presOf" srcId="{62E3A7F4-1070-4127-9E44-20E58509EC45}" destId="{323CD1DC-49A9-4E41-969E-6D2F12598F5F}" srcOrd="0" destOrd="0" presId="urn:microsoft.com/office/officeart/2005/8/layout/chevron2"/>
    <dgm:cxn modelId="{4A173D10-98D9-4F62-9F91-DF739777CAF1}" srcId="{46BA743C-7DF8-48B5-822E-527E7E1D1B40}" destId="{62E3A7F4-1070-4127-9E44-20E58509EC45}" srcOrd="3" destOrd="0" parTransId="{715E2BFC-B8BA-4115-881A-E2670CC81A36}" sibTransId="{4494D9B5-CB4A-48A4-A674-8897A9EAAC47}"/>
    <dgm:cxn modelId="{3E4DF86B-160E-4877-826A-0EEC74D3185B}" type="presOf" srcId="{CFF10B85-4057-43D9-8C02-53A135C50E38}" destId="{B8A83EC6-6956-48D4-B93C-EDC133FD6A25}" srcOrd="0" destOrd="0" presId="urn:microsoft.com/office/officeart/2005/8/layout/chevron2"/>
    <dgm:cxn modelId="{D0B8F56E-0AB3-4431-8B31-90A25F4F7BC9}" srcId="{46BA743C-7DF8-48B5-822E-527E7E1D1B40}" destId="{34815BB4-1718-4380-B2D8-52CBD8C744C9}" srcOrd="7" destOrd="0" parTransId="{D2110A9F-EF73-4031-A116-14390DFA6A3C}" sibTransId="{2B70721C-23A8-44FB-B75F-B264DDBBC737}"/>
    <dgm:cxn modelId="{FC9E8071-5E1C-48E4-A14F-DC5EA74FEEDD}" type="presOf" srcId="{2109B953-4E28-450D-B68D-BC64102362ED}" destId="{29B157DD-5ABF-44C7-84DB-D063ACF93A43}" srcOrd="0" destOrd="0" presId="urn:microsoft.com/office/officeart/2005/8/layout/chevron2"/>
    <dgm:cxn modelId="{D6ECA1F1-B822-4D0F-9EEE-6085C50ECE5E}" type="presOf" srcId="{2ACE588D-EA70-4364-8307-2C2E7A0C20FD}" destId="{A447DAC0-ECA3-4ED8-9058-1CF6DC3045AE}" srcOrd="0" destOrd="0" presId="urn:microsoft.com/office/officeart/2005/8/layout/chevron2"/>
    <dgm:cxn modelId="{3AF031FA-6DB0-41B1-B5A8-80401255DA98}" type="presOf" srcId="{46BA743C-7DF8-48B5-822E-527E7E1D1B40}" destId="{B97EB317-2473-4DCD-80E7-50B7A89B2F96}" srcOrd="0" destOrd="0" presId="urn:microsoft.com/office/officeart/2005/8/layout/chevron2"/>
    <dgm:cxn modelId="{E27A04B8-CBBC-4830-9993-2A485B68B80F}" srcId="{46BA743C-7DF8-48B5-822E-527E7E1D1B40}" destId="{2109B953-4E28-450D-B68D-BC64102362ED}" srcOrd="5" destOrd="0" parTransId="{9FC4AE15-B2E8-4A4E-BD7E-9DEFFECFD0D2}" sibTransId="{EC477FFD-B4A5-4909-B9A3-CB6C3EF80D0C}"/>
    <dgm:cxn modelId="{2D00A54F-3B50-4B81-8582-16424158BC7D}" srcId="{62E3A7F4-1070-4127-9E44-20E58509EC45}" destId="{5B33CDE8-17D9-406A-ADA0-BE5AA000CBB8}" srcOrd="0" destOrd="0" parTransId="{53028A73-B59F-4A2C-BE51-B8724A578CED}" sibTransId="{44665726-89FE-44B5-8E00-EA6CE75C9FD3}"/>
    <dgm:cxn modelId="{E5973205-62EB-4D75-A250-3A6B3D9E38B6}" type="presOf" srcId="{F9C9DB4A-F792-4895-84DD-723841ED8BF5}" destId="{6688F5FD-0BCB-489E-92B8-A21E58317251}" srcOrd="0" destOrd="0" presId="urn:microsoft.com/office/officeart/2005/8/layout/chevron2"/>
    <dgm:cxn modelId="{0B4A3BD6-B024-4787-AB6E-F2BE58748393}" srcId="{CFF10B85-4057-43D9-8C02-53A135C50E38}" destId="{283A7526-9AF3-4F9F-A50C-04A3EED7C9E7}" srcOrd="0" destOrd="0" parTransId="{8D5B8183-9A97-4940-AC26-6BECD107C045}" sibTransId="{D32D6A55-5423-4A9E-9227-A94BB0AB74B3}"/>
    <dgm:cxn modelId="{20E0347D-B7EA-458B-A40E-6D94A2037E34}" srcId="{7FFF0BF9-E84B-49D7-87DF-CFFCED52DB7E}" destId="{227CB006-BA11-40C7-B654-E161BD78B067}" srcOrd="0" destOrd="0" parTransId="{E508AD3C-7788-4F30-9049-80A2719B3E6F}" sibTransId="{C04D11EE-EB0E-4777-A1C2-4A2BF5C31967}"/>
    <dgm:cxn modelId="{69055FEE-CA40-4A2A-9EB1-0CD12C9E17AF}" srcId="{C8AD756C-C70E-462B-9AA3-BCE57C3E9A46}" destId="{1F42E21D-1309-44D4-A5A9-4D53F6991551}" srcOrd="0" destOrd="0" parTransId="{12D27B87-523B-4956-A866-1360FDD4EADA}" sibTransId="{614993ED-8056-49AF-BFD6-3C5EB58829BF}"/>
    <dgm:cxn modelId="{AEB34B7C-9BF1-45B2-B4B9-9AEA506EE88E}" srcId="{2109B953-4E28-450D-B68D-BC64102362ED}" destId="{649A399F-0AE4-4602-AF99-83CAFDA63928}" srcOrd="0" destOrd="0" parTransId="{31BBE68E-B3DC-4136-9770-27A00E6B080A}" sibTransId="{3DB3883F-B22A-4C77-8266-A045BCE1F0F0}"/>
    <dgm:cxn modelId="{B7FCB47C-85BA-4590-A39A-A036C8F86CCA}" srcId="{46BA743C-7DF8-48B5-822E-527E7E1D1B40}" destId="{7FFF0BF9-E84B-49D7-87DF-CFFCED52DB7E}" srcOrd="0" destOrd="0" parTransId="{432A8833-EBFC-4AAC-96FA-0B6B3F9DDAB3}" sibTransId="{D6B7B547-FB10-467D-932E-2A70B4C3666F}"/>
    <dgm:cxn modelId="{77D52631-D856-4C5F-80A4-4A5D35A36A66}" srcId="{46BA743C-7DF8-48B5-822E-527E7E1D1B40}" destId="{4ACFA5E5-75C4-4797-AFC9-0E0ED26D747F}" srcOrd="1" destOrd="0" parTransId="{B5258380-80E7-485F-882F-82DA8951A328}" sibTransId="{A1769191-4360-4754-B83C-450D8EF3F32C}"/>
    <dgm:cxn modelId="{00761174-E4B9-4CC3-A2DE-5AF755B88009}" srcId="{46BA743C-7DF8-48B5-822E-527E7E1D1B40}" destId="{C8AD756C-C70E-462B-9AA3-BCE57C3E9A46}" srcOrd="4" destOrd="0" parTransId="{E4607245-0E44-4169-A8DA-99BC671D9F43}" sibTransId="{960EB163-D733-4265-A646-C3C4299A1AEA}"/>
    <dgm:cxn modelId="{9D8A1127-0A05-420B-95B6-95F68A05C5B0}" type="presOf" srcId="{4ACFA5E5-75C4-4797-AFC9-0E0ED26D747F}" destId="{20C327AA-6EAB-40F8-B5A9-3824D8F3C0F2}" srcOrd="0" destOrd="0" presId="urn:microsoft.com/office/officeart/2005/8/layout/chevron2"/>
    <dgm:cxn modelId="{CB8C40F7-5D5D-40C4-82A7-0DE28CFD329D}" type="presOf" srcId="{227CB006-BA11-40C7-B654-E161BD78B067}" destId="{002F61A5-0D3C-4FBA-A6B9-58EA76B9D6BE}" srcOrd="0" destOrd="0" presId="urn:microsoft.com/office/officeart/2005/8/layout/chevron2"/>
    <dgm:cxn modelId="{B2D714A9-61E5-4E4B-9D72-986D21374E73}" type="presOf" srcId="{649A399F-0AE4-4602-AF99-83CAFDA63928}" destId="{DB8F81B5-3AEA-4610-A22F-E987B36CB035}" srcOrd="0" destOrd="0" presId="urn:microsoft.com/office/officeart/2005/8/layout/chevron2"/>
    <dgm:cxn modelId="{B9EF5410-E7AD-4531-8440-2F9C0C92EC35}" type="presParOf" srcId="{B97EB317-2473-4DCD-80E7-50B7A89B2F96}" destId="{1BFCB26E-9F4F-4BD9-BB8F-DA511E7A1292}" srcOrd="0" destOrd="0" presId="urn:microsoft.com/office/officeart/2005/8/layout/chevron2"/>
    <dgm:cxn modelId="{90194DAD-715C-44B9-A5A4-FE60F523DB8E}" type="presParOf" srcId="{1BFCB26E-9F4F-4BD9-BB8F-DA511E7A1292}" destId="{B02F16C6-4EA1-4A31-B183-7E7D97642127}" srcOrd="0" destOrd="0" presId="urn:microsoft.com/office/officeart/2005/8/layout/chevron2"/>
    <dgm:cxn modelId="{4193F4F2-3413-44C2-8062-E3C762E59B66}" type="presParOf" srcId="{1BFCB26E-9F4F-4BD9-BB8F-DA511E7A1292}" destId="{002F61A5-0D3C-4FBA-A6B9-58EA76B9D6BE}" srcOrd="1" destOrd="0" presId="urn:microsoft.com/office/officeart/2005/8/layout/chevron2"/>
    <dgm:cxn modelId="{E1F08CB5-9E7D-4C44-9BE5-7C3D3ECD983D}" type="presParOf" srcId="{B97EB317-2473-4DCD-80E7-50B7A89B2F96}" destId="{0B63C71A-38A7-4761-A1C8-15AFE2CBDBAC}" srcOrd="1" destOrd="0" presId="urn:microsoft.com/office/officeart/2005/8/layout/chevron2"/>
    <dgm:cxn modelId="{EAF44868-1E32-4303-B7AC-1FF4ABFEC1EC}" type="presParOf" srcId="{B97EB317-2473-4DCD-80E7-50B7A89B2F96}" destId="{AE6B24AE-3A13-44E7-A114-E210D6A2FF42}" srcOrd="2" destOrd="0" presId="urn:microsoft.com/office/officeart/2005/8/layout/chevron2"/>
    <dgm:cxn modelId="{55CF1683-ADE3-4A11-BFFD-D0F4AF41BDDA}" type="presParOf" srcId="{AE6B24AE-3A13-44E7-A114-E210D6A2FF42}" destId="{20C327AA-6EAB-40F8-B5A9-3824D8F3C0F2}" srcOrd="0" destOrd="0" presId="urn:microsoft.com/office/officeart/2005/8/layout/chevron2"/>
    <dgm:cxn modelId="{10BE1D98-55B6-4353-94C9-2AA6C7DD5C40}" type="presParOf" srcId="{AE6B24AE-3A13-44E7-A114-E210D6A2FF42}" destId="{A447DAC0-ECA3-4ED8-9058-1CF6DC3045AE}" srcOrd="1" destOrd="0" presId="urn:microsoft.com/office/officeart/2005/8/layout/chevron2"/>
    <dgm:cxn modelId="{82D4336C-0BC7-4737-9351-D1DEDA667554}" type="presParOf" srcId="{B97EB317-2473-4DCD-80E7-50B7A89B2F96}" destId="{F3780291-B5AA-4EAB-829A-815053475D72}" srcOrd="3" destOrd="0" presId="urn:microsoft.com/office/officeart/2005/8/layout/chevron2"/>
    <dgm:cxn modelId="{413F2630-06B0-4C33-839C-E1A242CCBE0A}" type="presParOf" srcId="{B97EB317-2473-4DCD-80E7-50B7A89B2F96}" destId="{81211C0A-7DFE-48C6-9177-900350FB8CCA}" srcOrd="4" destOrd="0" presId="urn:microsoft.com/office/officeart/2005/8/layout/chevron2"/>
    <dgm:cxn modelId="{61FA4860-53C2-4BE4-800E-4C900E8BC83D}" type="presParOf" srcId="{81211C0A-7DFE-48C6-9177-900350FB8CCA}" destId="{B8A83EC6-6956-48D4-B93C-EDC133FD6A25}" srcOrd="0" destOrd="0" presId="urn:microsoft.com/office/officeart/2005/8/layout/chevron2"/>
    <dgm:cxn modelId="{49B91E62-1672-4335-AE24-A404502C9511}" type="presParOf" srcId="{81211C0A-7DFE-48C6-9177-900350FB8CCA}" destId="{C487576C-5FEB-4BD4-9DF4-2EC2EA267C68}" srcOrd="1" destOrd="0" presId="urn:microsoft.com/office/officeart/2005/8/layout/chevron2"/>
    <dgm:cxn modelId="{34E726BD-98AA-4735-8078-A47EF6E67152}" type="presParOf" srcId="{B97EB317-2473-4DCD-80E7-50B7A89B2F96}" destId="{503B8246-8380-4F3D-81F0-9878285504E5}" srcOrd="5" destOrd="0" presId="urn:microsoft.com/office/officeart/2005/8/layout/chevron2"/>
    <dgm:cxn modelId="{F97C24D4-D36F-4F8D-8F17-0BE4405508B0}" type="presParOf" srcId="{B97EB317-2473-4DCD-80E7-50B7A89B2F96}" destId="{CFDA0F2A-E23E-4E94-AF42-A519F482FF05}" srcOrd="6" destOrd="0" presId="urn:microsoft.com/office/officeart/2005/8/layout/chevron2"/>
    <dgm:cxn modelId="{FCE85704-893A-4748-9DAE-7E6D82839F49}" type="presParOf" srcId="{CFDA0F2A-E23E-4E94-AF42-A519F482FF05}" destId="{323CD1DC-49A9-4E41-969E-6D2F12598F5F}" srcOrd="0" destOrd="0" presId="urn:microsoft.com/office/officeart/2005/8/layout/chevron2"/>
    <dgm:cxn modelId="{76F37EE5-5E27-47E6-AA67-A2A58554C0A4}" type="presParOf" srcId="{CFDA0F2A-E23E-4E94-AF42-A519F482FF05}" destId="{CE6172C3-16D9-4D37-A950-121178F1AC2A}" srcOrd="1" destOrd="0" presId="urn:microsoft.com/office/officeart/2005/8/layout/chevron2"/>
    <dgm:cxn modelId="{B0897791-3BC8-4970-8940-4D35D82EA3CF}" type="presParOf" srcId="{B97EB317-2473-4DCD-80E7-50B7A89B2F96}" destId="{1A661C22-8231-448D-934D-74F3CDB043FB}" srcOrd="7" destOrd="0" presId="urn:microsoft.com/office/officeart/2005/8/layout/chevron2"/>
    <dgm:cxn modelId="{852B6ACA-88EA-4E81-B6BC-DB860BFA505D}" type="presParOf" srcId="{B97EB317-2473-4DCD-80E7-50B7A89B2F96}" destId="{96326318-A1FA-4EA1-B1DF-21C339016A9B}" srcOrd="8" destOrd="0" presId="urn:microsoft.com/office/officeart/2005/8/layout/chevron2"/>
    <dgm:cxn modelId="{A2B4042B-D46D-4E7A-9280-591459023728}" type="presParOf" srcId="{96326318-A1FA-4EA1-B1DF-21C339016A9B}" destId="{D2A0677C-B1FF-4D0E-BAB0-4D937AC4C8AD}" srcOrd="0" destOrd="0" presId="urn:microsoft.com/office/officeart/2005/8/layout/chevron2"/>
    <dgm:cxn modelId="{5388E633-DF43-4584-91AE-AC2E0805CA0C}" type="presParOf" srcId="{96326318-A1FA-4EA1-B1DF-21C339016A9B}" destId="{C09BE247-24E6-41F8-BD35-94927E3EFEF0}" srcOrd="1" destOrd="0" presId="urn:microsoft.com/office/officeart/2005/8/layout/chevron2"/>
    <dgm:cxn modelId="{B7B19619-43CE-476B-8195-A19C3FBA0DFB}" type="presParOf" srcId="{B97EB317-2473-4DCD-80E7-50B7A89B2F96}" destId="{93E38A3B-8B0A-40A0-A2CC-43C1CB138539}" srcOrd="9" destOrd="0" presId="urn:microsoft.com/office/officeart/2005/8/layout/chevron2"/>
    <dgm:cxn modelId="{83AF32A2-C881-45DD-BA2A-955E2DAF51BC}" type="presParOf" srcId="{B97EB317-2473-4DCD-80E7-50B7A89B2F96}" destId="{E06DA044-09B0-4D5F-BB61-0851A690E362}" srcOrd="10" destOrd="0" presId="urn:microsoft.com/office/officeart/2005/8/layout/chevron2"/>
    <dgm:cxn modelId="{444C50A8-C5ED-47CB-B51A-75A1AFC4E4BA}" type="presParOf" srcId="{E06DA044-09B0-4D5F-BB61-0851A690E362}" destId="{29B157DD-5ABF-44C7-84DB-D063ACF93A43}" srcOrd="0" destOrd="0" presId="urn:microsoft.com/office/officeart/2005/8/layout/chevron2"/>
    <dgm:cxn modelId="{352227B0-3DB7-4A48-A03E-CD032AAB90CF}" type="presParOf" srcId="{E06DA044-09B0-4D5F-BB61-0851A690E362}" destId="{DB8F81B5-3AEA-4610-A22F-E987B36CB035}" srcOrd="1" destOrd="0" presId="urn:microsoft.com/office/officeart/2005/8/layout/chevron2"/>
    <dgm:cxn modelId="{9B86F4F9-4A60-4675-B614-626758CCB3DD}" type="presParOf" srcId="{B97EB317-2473-4DCD-80E7-50B7A89B2F96}" destId="{5270AD1B-D8C7-409C-9D80-FF6C6D980846}" srcOrd="11" destOrd="0" presId="urn:microsoft.com/office/officeart/2005/8/layout/chevron2"/>
    <dgm:cxn modelId="{6F407205-CAFB-4B94-86E8-D417F1C65A7E}" type="presParOf" srcId="{B97EB317-2473-4DCD-80E7-50B7A89B2F96}" destId="{A226E139-59B4-481E-B779-7A04843D3B54}" srcOrd="12" destOrd="0" presId="urn:microsoft.com/office/officeart/2005/8/layout/chevron2"/>
    <dgm:cxn modelId="{0A487341-AE7D-475A-B613-47C20B6FC63E}" type="presParOf" srcId="{A226E139-59B4-481E-B779-7A04843D3B54}" destId="{203499EA-A847-4BF6-ABC2-1453F9CF1A58}" srcOrd="0" destOrd="0" presId="urn:microsoft.com/office/officeart/2005/8/layout/chevron2"/>
    <dgm:cxn modelId="{168E2E2F-40FE-42E4-8AB7-571CDCE9ABA5}" type="presParOf" srcId="{A226E139-59B4-481E-B779-7A04843D3B54}" destId="{34F646D8-02DD-4CF5-8744-0593178FDE1D}" srcOrd="1" destOrd="0" presId="urn:microsoft.com/office/officeart/2005/8/layout/chevron2"/>
    <dgm:cxn modelId="{B4A06B2F-E195-44EF-A818-5BA6F9B74991}" type="presParOf" srcId="{B97EB317-2473-4DCD-80E7-50B7A89B2F96}" destId="{D4F36B3A-5542-4937-BCAB-ABAF7FCE40BC}" srcOrd="13" destOrd="0" presId="urn:microsoft.com/office/officeart/2005/8/layout/chevron2"/>
    <dgm:cxn modelId="{03B8D376-4968-4732-9EE4-8D320C4638FE}" type="presParOf" srcId="{B97EB317-2473-4DCD-80E7-50B7A89B2F96}" destId="{F39624E1-6C25-4975-9DAC-53EF4F8AA629}" srcOrd="14" destOrd="0" presId="urn:microsoft.com/office/officeart/2005/8/layout/chevron2"/>
    <dgm:cxn modelId="{9AD54872-8CAF-4D38-A3DF-1202740D2FB4}" type="presParOf" srcId="{F39624E1-6C25-4975-9DAC-53EF4F8AA629}" destId="{F9B50929-351E-4AFB-89F9-5C2A31730F56}" srcOrd="0" destOrd="0" presId="urn:microsoft.com/office/officeart/2005/8/layout/chevron2"/>
    <dgm:cxn modelId="{97B41946-8BFA-487D-BD59-C3E0A6CA3DD4}" type="presParOf" srcId="{F39624E1-6C25-4975-9DAC-53EF4F8AA629}" destId="{6688F5FD-0BCB-489E-92B8-A21E5831725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F16C6-4EA1-4A31-B183-7E7D97642127}">
      <dsp:nvSpPr>
        <dsp:cNvPr id="0" name=""/>
        <dsp:cNvSpPr/>
      </dsp:nvSpPr>
      <dsp:spPr>
        <a:xfrm rot="5400000">
          <a:off x="-78549" y="81133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 rot="-5400000">
        <a:off x="0" y="185865"/>
        <a:ext cx="366562" cy="157098"/>
      </dsp:txXfrm>
    </dsp:sp>
    <dsp:sp modelId="{002F61A5-0D3C-4FBA-A6B9-58EA76B9D6BE}">
      <dsp:nvSpPr>
        <dsp:cNvPr id="0" name=""/>
        <dsp:cNvSpPr/>
      </dsp:nvSpPr>
      <dsp:spPr>
        <a:xfrm rot="5400000">
          <a:off x="2756202" y="-2387054"/>
          <a:ext cx="340558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Set the Working Directory and install the “arules”  and "arulesViz" package</a:t>
          </a:r>
        </a:p>
      </dsp:txBody>
      <dsp:txXfrm rot="-5400000">
        <a:off x="366563" y="19210"/>
        <a:ext cx="5103212" cy="307308"/>
      </dsp:txXfrm>
    </dsp:sp>
    <dsp:sp modelId="{20C327AA-6EAB-40F8-B5A9-3824D8F3C0F2}">
      <dsp:nvSpPr>
        <dsp:cNvPr id="0" name=""/>
        <dsp:cNvSpPr/>
      </dsp:nvSpPr>
      <dsp:spPr>
        <a:xfrm rot="5400000">
          <a:off x="-78549" y="528100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</a:t>
          </a:r>
        </a:p>
      </dsp:txBody>
      <dsp:txXfrm rot="-5400000">
        <a:off x="0" y="632832"/>
        <a:ext cx="366562" cy="157098"/>
      </dsp:txXfrm>
    </dsp:sp>
    <dsp:sp modelId="{A447DAC0-ECA3-4ED8-9058-1CF6DC3045AE}">
      <dsp:nvSpPr>
        <dsp:cNvPr id="0" name=""/>
        <dsp:cNvSpPr/>
      </dsp:nvSpPr>
      <dsp:spPr>
        <a:xfrm rot="5400000">
          <a:off x="2756291" y="-1940177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Read in the Data for Modeling</a:t>
          </a:r>
        </a:p>
      </dsp:txBody>
      <dsp:txXfrm rot="-5400000">
        <a:off x="366562" y="466168"/>
        <a:ext cx="5103221" cy="307147"/>
      </dsp:txXfrm>
    </dsp:sp>
    <dsp:sp modelId="{B8A83EC6-6956-48D4-B93C-EDC133FD6A25}">
      <dsp:nvSpPr>
        <dsp:cNvPr id="0" name=""/>
        <dsp:cNvSpPr/>
      </dsp:nvSpPr>
      <dsp:spPr>
        <a:xfrm rot="5400000">
          <a:off x="-78549" y="975068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</a:t>
          </a:r>
        </a:p>
      </dsp:txBody>
      <dsp:txXfrm rot="-5400000">
        <a:off x="0" y="1079800"/>
        <a:ext cx="366562" cy="157098"/>
      </dsp:txXfrm>
    </dsp:sp>
    <dsp:sp modelId="{C487576C-5FEB-4BD4-9DF4-2EC2EA267C68}">
      <dsp:nvSpPr>
        <dsp:cNvPr id="0" name=""/>
        <dsp:cNvSpPr/>
      </dsp:nvSpPr>
      <dsp:spPr>
        <a:xfrm rot="5400000">
          <a:off x="2756291" y="-1493210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Review Transaction data</a:t>
          </a:r>
        </a:p>
      </dsp:txBody>
      <dsp:txXfrm rot="-5400000">
        <a:off x="366562" y="913135"/>
        <a:ext cx="5103221" cy="307147"/>
      </dsp:txXfrm>
    </dsp:sp>
    <dsp:sp modelId="{323CD1DC-49A9-4E41-969E-6D2F12598F5F}">
      <dsp:nvSpPr>
        <dsp:cNvPr id="0" name=""/>
        <dsp:cNvSpPr/>
      </dsp:nvSpPr>
      <dsp:spPr>
        <a:xfrm rot="5400000">
          <a:off x="-78549" y="1422035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 rot="-5400000">
        <a:off x="0" y="1526767"/>
        <a:ext cx="366562" cy="157098"/>
      </dsp:txXfrm>
    </dsp:sp>
    <dsp:sp modelId="{CE6172C3-16D9-4D37-A950-121178F1AC2A}">
      <dsp:nvSpPr>
        <dsp:cNvPr id="0" name=""/>
        <dsp:cNvSpPr/>
      </dsp:nvSpPr>
      <dsp:spPr>
        <a:xfrm rot="5400000">
          <a:off x="2756291" y="-1046242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Plot Transactions</a:t>
          </a:r>
        </a:p>
      </dsp:txBody>
      <dsp:txXfrm rot="-5400000">
        <a:off x="366562" y="1360103"/>
        <a:ext cx="5103221" cy="307147"/>
      </dsp:txXfrm>
    </dsp:sp>
    <dsp:sp modelId="{D2A0677C-B1FF-4D0E-BAB0-4D937AC4C8AD}">
      <dsp:nvSpPr>
        <dsp:cNvPr id="0" name=""/>
        <dsp:cNvSpPr/>
      </dsp:nvSpPr>
      <dsp:spPr>
        <a:xfrm rot="5400000">
          <a:off x="-78549" y="1869002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 rot="-5400000">
        <a:off x="0" y="1973734"/>
        <a:ext cx="366562" cy="157098"/>
      </dsp:txXfrm>
    </dsp:sp>
    <dsp:sp modelId="{C09BE247-24E6-41F8-BD35-94927E3EFEF0}">
      <dsp:nvSpPr>
        <dsp:cNvPr id="0" name=""/>
        <dsp:cNvSpPr/>
      </dsp:nvSpPr>
      <dsp:spPr>
        <a:xfrm rot="5400000">
          <a:off x="2756291" y="-599275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Mine the Association Rules</a:t>
          </a:r>
        </a:p>
      </dsp:txBody>
      <dsp:txXfrm rot="-5400000">
        <a:off x="366562" y="1807070"/>
        <a:ext cx="5103221" cy="307147"/>
      </dsp:txXfrm>
    </dsp:sp>
    <dsp:sp modelId="{29B157DD-5ABF-44C7-84DB-D063ACF93A43}">
      <dsp:nvSpPr>
        <dsp:cNvPr id="0" name=""/>
        <dsp:cNvSpPr/>
      </dsp:nvSpPr>
      <dsp:spPr>
        <a:xfrm rot="5400000">
          <a:off x="-78549" y="2315969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 rot="-5400000">
        <a:off x="0" y="2420701"/>
        <a:ext cx="366562" cy="157098"/>
      </dsp:txXfrm>
    </dsp:sp>
    <dsp:sp modelId="{DB8F81B5-3AEA-4610-A22F-E987B36CB035}">
      <dsp:nvSpPr>
        <dsp:cNvPr id="0" name=""/>
        <dsp:cNvSpPr/>
      </dsp:nvSpPr>
      <dsp:spPr>
        <a:xfrm rot="5400000">
          <a:off x="2756291" y="-152308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Read in Groceries dataset</a:t>
          </a:r>
        </a:p>
      </dsp:txBody>
      <dsp:txXfrm rot="-5400000">
        <a:off x="366562" y="2254037"/>
        <a:ext cx="5103221" cy="307147"/>
      </dsp:txXfrm>
    </dsp:sp>
    <dsp:sp modelId="{203499EA-A847-4BF6-ABC2-1453F9CF1A58}">
      <dsp:nvSpPr>
        <dsp:cNvPr id="0" name=""/>
        <dsp:cNvSpPr/>
      </dsp:nvSpPr>
      <dsp:spPr>
        <a:xfrm rot="5400000">
          <a:off x="-78549" y="2762936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7</a:t>
          </a:r>
        </a:p>
      </dsp:txBody>
      <dsp:txXfrm rot="-5400000">
        <a:off x="0" y="2867668"/>
        <a:ext cx="366562" cy="157098"/>
      </dsp:txXfrm>
    </dsp:sp>
    <dsp:sp modelId="{34F646D8-02DD-4CF5-8744-0593178FDE1D}">
      <dsp:nvSpPr>
        <dsp:cNvPr id="0" name=""/>
        <dsp:cNvSpPr/>
      </dsp:nvSpPr>
      <dsp:spPr>
        <a:xfrm rot="5400000">
          <a:off x="2756291" y="294658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Mine the Rules for the Groceries Data and Visualize results</a:t>
          </a:r>
        </a:p>
      </dsp:txBody>
      <dsp:txXfrm rot="-5400000">
        <a:off x="366562" y="2701003"/>
        <a:ext cx="5103221" cy="307147"/>
      </dsp:txXfrm>
    </dsp:sp>
    <dsp:sp modelId="{F9B50929-351E-4AFB-89F9-5C2A31730F56}">
      <dsp:nvSpPr>
        <dsp:cNvPr id="0" name=""/>
        <dsp:cNvSpPr/>
      </dsp:nvSpPr>
      <dsp:spPr>
        <a:xfrm rot="5400000">
          <a:off x="-78549" y="3209903"/>
          <a:ext cx="523660" cy="3665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8</a:t>
          </a:r>
        </a:p>
      </dsp:txBody>
      <dsp:txXfrm rot="-5400000">
        <a:off x="0" y="3314635"/>
        <a:ext cx="366562" cy="157098"/>
      </dsp:txXfrm>
    </dsp:sp>
    <dsp:sp modelId="{6688F5FD-0BCB-489E-92B8-A21E58317251}">
      <dsp:nvSpPr>
        <dsp:cNvPr id="0" name=""/>
        <dsp:cNvSpPr/>
      </dsp:nvSpPr>
      <dsp:spPr>
        <a:xfrm rot="5400000">
          <a:off x="2756291" y="741625"/>
          <a:ext cx="340379" cy="511983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Extract the Rules in which the Confidence Value is &gt;0.8 and high lift and visualize resuts</a:t>
          </a:r>
        </a:p>
      </dsp:txBody>
      <dsp:txXfrm rot="-5400000">
        <a:off x="366562" y="3147970"/>
        <a:ext cx="5103221" cy="307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 Tu</dc:creator>
  <cp:keywords/>
  <dc:description/>
  <cp:lastModifiedBy>Shengru Tu</cp:lastModifiedBy>
  <cp:revision>1</cp:revision>
  <dcterms:created xsi:type="dcterms:W3CDTF">2015-02-04T19:33:00Z</dcterms:created>
  <dcterms:modified xsi:type="dcterms:W3CDTF">2015-02-04T19:33:00Z</dcterms:modified>
</cp:coreProperties>
</file>