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1f3f66"/>
          <w:sz w:val="40"/>
          <w:szCs w:val="40"/>
        </w:rPr>
        <w:t xml:space="preserve">Conduction Velocity and Signal Propagation in Plants</w:t>
      </w:r>
    </w:p>
    <w:p>
      <w:pPr>
        <w:spacing w:after="40"/>
        <w:jc w:val="center"/>
      </w:pPr>
      <w:r>
        <w:rPr>
          <w:color w:val="555555"/>
          <w:sz w:val="23"/>
          <w:szCs w:val="23"/>
        </w:rPr>
        <w:t xml:space="preserve">An automatic two-channel pipeline: from reproducing the manual analysis to predicting the propagation mode</w:t>
      </w:r>
    </w:p>
    <w:p>
      <w:pPr>
        <w:spacing w:after="240"/>
        <w:jc w:val="center"/>
      </w:pPr>
      <w:r>
        <w:rPr>
          <w:color w:val="888888"/>
          <w:sz w:val="18"/>
          <w:szCs w:val="18"/>
        </w:rPr>
        <w:t xml:space="preserve">13 species · 176 recordings (166 analysed) · github.com/ETigerschuss/conduction-velocity-plants</w:t>
      </w:r>
    </w:p>
    <w:p>
      <w:pPr>
        <w:pBdr>
          <w:bottom w:val="single" w:color="BBBBBB" w:sz="6"/>
        </w:pBdr>
        <w:spacing w:after="120"/>
      </w:pPr>
    </w:p>
    <w:p>
      <w:pPr>
        <w:pStyle w:val="Heading1"/>
        <w:spacing w:after="120" w:before="260"/>
      </w:pPr>
      <w:r>
        <w:t xml:space="preserve">1. Overview: the argument in five steps</w:t>
      </w:r>
    </w:p>
    <w:p>
      <w:pPr>
        <w:spacing w:after="120"/>
        <w:jc w:val="both"/>
      </w:pPr>
      <w:r>
        <w:rPr>
          <w:sz w:val="22"/>
          <w:szCs w:val="22"/>
        </w:rPr>
        <w:t xml:space="preserve">Two electrodes sit inline downstream of a stimulus; the propagating potential reaches the </w:t>
      </w:r>
      <w:r>
        <w:rPr>
          <w:b/>
          <w:bCs/>
          <w:sz w:val="22"/>
          <w:szCs w:val="22"/>
        </w:rPr>
        <w:t xml:space="preserve">near</w:t>
      </w:r>
      <w:r>
        <w:rPr>
          <w:sz w:val="22"/>
          <w:szCs w:val="22"/>
        </w:rPr>
        <w:t xml:space="preserve"> electrode first and the </w:t>
      </w:r>
      <w:r>
        <w:rPr>
          <w:b/>
          <w:bCs/>
          <w:sz w:val="22"/>
          <w:szCs w:val="22"/>
        </w:rPr>
        <w:t xml:space="preserve">far</w:t>
      </w:r>
      <w:r>
        <w:rPr>
          <w:sz w:val="22"/>
          <w:szCs w:val="22"/>
        </w:rPr>
        <w:t xml:space="preserve"> electrode later. Building on the open pipeline of Madariaga et al. (2024), we extend it into an automatic analysis and make five linked claims.</w:t>
      </w:r>
    </w:p>
    <w:p>
      <w:pPr>
        <w:spacing w:after="120"/>
        <w:jc w:val="both"/>
      </w:pPr>
      <w:r>
        <w:rPr>
          <w:b/>
          <w:bCs/>
          <w:sz w:val="22"/>
          <w:szCs w:val="22"/>
        </w:rPr>
        <w:t xml:space="preserve">1. A modified pipeline reproduces the manual analysis. </w:t>
      </w:r>
      <w:r>
        <w:rPr>
          <w:sz w:val="22"/>
          <w:szCs w:val="22"/>
        </w:rPr>
        <w:t xml:space="preserve">With plant-class-aware peak detection it matches the hand-measured conduction velocities at Pearson r = 0.94 (0.99 excluding one species), and recovers the published per-recording numbers exactly (Section 3).</w:t>
      </w:r>
    </w:p>
    <w:p>
      <w:pPr>
        <w:spacing w:after="120"/>
        <w:jc w:val="both"/>
      </w:pPr>
      <w:r>
        <w:rPr>
          <w:b/>
          <w:bCs/>
          <w:sz w:val="22"/>
          <w:szCs w:val="22"/>
        </w:rPr>
        <w:t xml:space="preserve">2. It detects the two potential types. </w:t>
      </w:r>
      <w:r>
        <w:rPr>
          <w:sz w:val="22"/>
          <w:szCs w:val="22"/>
        </w:rPr>
        <w:t xml:space="preserve">Recordings separate cleanly into fast action potentials and slow variation potentials — the two signal classes Mimosa and others are known to fire (Section 4).</w:t>
      </w:r>
    </w:p>
    <w:p>
      <w:pPr>
        <w:spacing w:after="120"/>
        <w:jc w:val="both"/>
      </w:pPr>
      <w:r>
        <w:rPr>
          <w:b/>
          <w:bCs/>
          <w:sz w:val="22"/>
          <w:szCs w:val="22"/>
        </w:rPr>
        <w:t xml:space="preserve">3. It compares the two channels. </w:t>
      </w:r>
      <w:r>
        <w:rPr>
          <w:sz w:val="22"/>
          <w:szCs w:val="22"/>
        </w:rPr>
        <w:t xml:space="preserve">From near to far the signal attenuates (~0.4×) and mildly broadens, while largely preserving its shape (Section 5).</w:t>
      </w:r>
    </w:p>
    <w:p>
      <w:pPr>
        <w:spacing w:after="120"/>
        <w:jc w:val="both"/>
      </w:pPr>
      <w:r>
        <w:rPr>
          <w:b/>
          <w:bCs/>
          <w:sz w:val="22"/>
          <w:szCs w:val="22"/>
        </w:rPr>
        <w:t xml:space="preserve">4. It models the waveform and propagation to predict active vs passive. </w:t>
      </w:r>
      <w:r>
        <w:rPr>
          <w:sz w:val="22"/>
          <w:szCs w:val="22"/>
        </w:rPr>
        <w:t xml:space="preserve">Using what is known about fast-moving plants as a reference, the fits place each species on an active↔passive spectrum and yield a per-species prediction for the untested species (Section 6). We predict, not conclude.</w:t>
      </w:r>
    </w:p>
    <w:p>
      <w:pPr>
        <w:spacing w:after="120"/>
        <w:jc w:val="both"/>
      </w:pPr>
      <w:r>
        <w:rPr>
          <w:b/>
          <w:bCs/>
          <w:sz w:val="22"/>
          <w:szCs w:val="22"/>
        </w:rPr>
        <w:t xml:space="preserve">5. It groups species by every parameter and tests phylogeny. </w:t>
      </w:r>
      <w:r>
        <w:rPr>
          <w:sz w:val="22"/>
          <w:szCs w:val="22"/>
        </w:rPr>
        <w:t xml:space="preserve">Clustering on all parameters (CV, attenuation, broadening, waveform fidelity, dispersion, potential type) shows the propagation profile is </w:t>
      </w:r>
      <w:r>
        <w:rPr>
          <w:b/>
          <w:bCs/>
          <w:sz w:val="22"/>
          <w:szCs w:val="22"/>
        </w:rPr>
        <w:t xml:space="preserve">not</w:t>
      </w:r>
      <w:r>
        <w:rPr>
          <w:sz w:val="22"/>
          <w:szCs w:val="22"/>
        </w:rPr>
        <w:t xml:space="preserve"> phylogenetically structured — e.g. Solanaceae are not internally more similar than average (Section 7).</w:t>
      </w:r>
    </w:p>
    <w:p>
      <w:pPr>
        <w:spacing w:after="120"/>
        <w:jc w:val="both"/>
      </w:pPr>
      <w:r>
        <w:rPr>
          <w:i/>
          <w:iCs/>
          <w:sz w:val="22"/>
          <w:szCs w:val="22"/>
        </w:rPr>
        <w:t xml:space="preserve">This is a working report; Section 10 lists which figures are manuscript candidates versus supporting material.</w:t>
      </w:r>
    </w:p>
    <w:p>
      <w:pPr>
        <w:pStyle w:val="Heading1"/>
        <w:spacing w:after="120" w:before="260"/>
      </w:pPr>
      <w:r>
        <w:t xml:space="preserve">2. Methods</w:t>
      </w:r>
    </w:p>
    <w:p>
      <w:pPr>
        <w:spacing w:after="120"/>
        <w:jc w:val="both"/>
      </w:pPr>
      <w:r>
        <w:rPr>
          <w:sz w:val="22"/>
          <w:szCs w:val="22"/>
        </w:rPr>
        <w:t xml:space="preserve">Each channel is baseline-subtracted and filtered; the earlier-peaking channel is labelled </w:t>
      </w:r>
      <w:r>
        <w:rPr>
          <w:b/>
          <w:bCs/>
          <w:sz w:val="22"/>
          <w:szCs w:val="22"/>
        </w:rPr>
        <w:t xml:space="preserve">near</w:t>
      </w:r>
      <w:r>
        <w:rPr>
          <w:sz w:val="22"/>
          <w:szCs w:val="22"/>
        </w:rPr>
        <w:t xml:space="preserve">. </w:t>
      </w:r>
      <w:r>
        <w:rPr>
          <w:b/>
          <w:bCs/>
          <w:sz w:val="22"/>
          <w:szCs w:val="22"/>
        </w:rPr>
        <w:t xml:space="preserve">Peak detection is plant-class-aware, as in the manual analysis: </w:t>
      </w:r>
      <w:r>
        <w:rPr>
          <w:sz w:val="22"/>
          <w:szCs w:val="22"/>
        </w:rPr>
        <w:t xml:space="preserve">slow (variation-potential) recordings are timed on the dominant deflection, while rapid-movement plants (Venus flytrap, Sensitive Mimosa) fire a sharp, often biphasic action potential and are timed on the </w:t>
      </w:r>
      <w:r>
        <w:rPr>
          <w:i/>
          <w:iCs/>
          <w:sz w:val="22"/>
          <w:szCs w:val="22"/>
        </w:rPr>
        <w:t xml:space="preserve">first prominent peak</w:t>
      </w:r>
      <w:r>
        <w:rPr>
          <w:sz w:val="22"/>
          <w:szCs w:val="22"/>
        </w:rPr>
        <w:t xml:space="preserve"> (≥ 0.5× max) on an AP-preserving 0.15–15 Hz band-pass. Inter-channel delay uses windowed cross-correlation, with a common-mode-robust 2-tap model where the shared soil reference dominates (Section 5). CV = inter-electrode distance / delay; distances come from the “Todo Data Resumen” spreadsheet (166/176 recordings). Transformation metrics: amplitude attenuation, temporal broadening (FWHM), waveform similarity. The pipeline reports three CV columns — </w:t>
      </w:r>
      <w:r>
        <w:rPr>
          <w:i/>
          <w:iCs/>
          <w:sz w:val="22"/>
          <w:szCs w:val="22"/>
        </w:rPr>
        <w:t xml:space="preserve">cv_xcorr</w:t>
      </w:r>
      <w:r>
        <w:rPr>
          <w:sz w:val="22"/>
          <w:szCs w:val="22"/>
        </w:rPr>
        <w:t xml:space="preserve">, </w:t>
      </w:r>
      <w:r>
        <w:rPr>
          <w:i/>
          <w:iCs/>
          <w:sz w:val="22"/>
          <w:szCs w:val="22"/>
        </w:rPr>
        <w:t xml:space="preserve">cv_2tap</w:t>
      </w:r>
      <w:r>
        <w:rPr>
          <w:sz w:val="22"/>
          <w:szCs w:val="22"/>
        </w:rPr>
        <w:t xml:space="preserve">, and </w:t>
      </w:r>
      <w:r>
        <w:rPr>
          <w:i/>
          <w:iCs/>
          <w:sz w:val="22"/>
          <w:szCs w:val="22"/>
        </w:rPr>
        <w:t xml:space="preserve">cv_manual</w:t>
      </w:r>
      <w:r>
        <w:rPr>
          <w:sz w:val="22"/>
          <w:szCs w:val="22"/>
        </w:rPr>
        <w:t xml:space="preserve"> (distance ÷ the experimenters’ manual delay).</w:t>
      </w:r>
    </w:p>
    <w:p>
      <w:r>
        <w:br w:type="page"/>
      </w:r>
    </w:p>
    <w:p>
      <w:pPr>
        <w:pStyle w:val="Heading1"/>
        <w:spacing w:after="120" w:before="260"/>
      </w:pPr>
      <w:r>
        <w:t xml:space="preserve">3. Reproducing the manual analysis (Contreras et al.)</w:t>
      </w:r>
    </w:p>
    <w:p>
      <w:pPr>
        <w:spacing w:after="120"/>
        <w:jc w:val="both"/>
      </w:pPr>
      <w:r>
        <w:rPr>
          <w:sz w:val="22"/>
          <w:szCs w:val="22"/>
        </w:rPr>
        <w:t xml:space="preserve">We validate against the manual analysis in </w:t>
      </w:r>
      <w:r>
        <w:rPr>
          <w:i/>
          <w:iCs/>
          <w:sz w:val="22"/>
          <w:szCs w:val="22"/>
        </w:rPr>
        <w:t xml:space="preserve">Electrical Conduction Velocity Across Species of Rapid Movement and Non-Rapid Movement Plants</w:t>
      </w:r>
      <w:r>
        <w:rPr>
          <w:sz w:val="22"/>
          <w:szCs w:val="22"/>
        </w:rPr>
        <w:t xml:space="preserve"> (Contreras, Morales, Rojas, Serbe-Kamp, Marzullo), Table 1. Both analyses use the same recordings.</w:t>
      </w:r>
    </w:p>
    <w:p>
      <w:pPr>
        <w:spacing w:after="120"/>
        <w:jc w:val="both"/>
      </w:pPr>
      <w:r>
        <w:rPr>
          <w:b/>
          <w:bCs/>
          <w:sz w:val="22"/>
          <w:szCs w:val="22"/>
        </w:rPr>
        <w:t xml:space="preserve">Strong agreement: Pearson r = 0.94 across 13 species (0.99 excluding Sensitive Mimosa). </w:t>
      </w:r>
      <w:r>
        <w:rPr>
          <w:sz w:val="22"/>
          <w:szCs w:val="22"/>
        </w:rPr>
        <w:t xml:space="preserve">The non-rapid group mean matches almost exactly (automatic 8.0 vs manual 7.7 mm/s); Venus flytrap agrees (32.9 vs 35.3). Using the experimenters’ own delays, the </w:t>
      </w:r>
      <w:r>
        <w:rPr>
          <w:i/>
          <w:iCs/>
          <w:sz w:val="22"/>
          <w:szCs w:val="22"/>
        </w:rPr>
        <w:t xml:space="preserve">cv_manual</w:t>
      </w:r>
      <w:r>
        <w:rPr>
          <w:sz w:val="22"/>
          <w:szCs w:val="22"/>
        </w:rPr>
        <w:t xml:space="preserve"> column reproduces the manuscript exactly (Mimosa 30.6, Venus 35.7 mm/s).</w:t>
      </w:r>
    </w:p>
    <w:p>
      <w:pPr>
        <w:spacing w:after="40" w:before="16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55555"/>
          <w:sz w:val="17"/>
          <w:szCs w:val="17"/>
        </w:rPr>
        <w:t xml:space="preserve">Figure 1. Conduction velocity by species (resolved-delay recordings). Box = IQR, red = median, dots = recordings.</w:t>
      </w:r>
    </w:p>
    <w:p>
      <w:pPr>
        <w:spacing w:after="40" w:before="160"/>
        <w:jc w:val="center"/>
      </w:pPr>
      <w:r>
        <w:drawing>
          <wp:inline distT="0" distB="0" distL="0" distR="0">
            <wp:extent cx="57150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334000"/>
                    </a:xfrm>
                    <a:prstGeom prst="rect">
                      <a:avLst/>
                    </a:prstGeom>
                  </pic:spPr>
                </pic:pic>
              </a:graphicData>
            </a:graphic>
          </wp:inline>
        </w:drawing>
      </w:r>
    </w:p>
    <w:p>
      <w:pPr>
        <w:spacing w:after="200"/>
        <w:jc w:val="center"/>
      </w:pPr>
      <w:r>
        <w:rPr>
          <w:i/>
          <w:iCs/>
          <w:color w:val="555555"/>
          <w:sz w:val="17"/>
          <w:szCs w:val="17"/>
        </w:rPr>
        <w:t xml:space="preserve">Figure 2. Automatic CV vs manual CV, per species (mean ± SD). Points on the identity line agree; only Sensitive Mimosa sits clearly below (see text).</w:t>
      </w:r>
    </w:p>
    <w:p>
      <w:pPr>
        <w:spacing w:after="40" w:before="160"/>
        <w:jc w:val="center"/>
      </w:pPr>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p>
      <w:pPr>
        <w:spacing w:after="200"/>
        <w:jc w:val="center"/>
      </w:pPr>
      <w:r>
        <w:rPr>
          <w:i/>
          <w:iCs/>
          <w:color w:val="555555"/>
          <w:sz w:val="17"/>
          <w:szCs w:val="17"/>
        </w:rPr>
        <w:t xml:space="preserve">Figure 3. The underlying agreement: our measured inter-channel delay vs the manual delay (Tiempo), recording by recording, on the identity line.</w:t>
      </w:r>
    </w:p>
    <w:p>
      <w:pPr>
        <w:spacing w:after="120"/>
        <w:jc w:val="both"/>
      </w:pPr>
      <w:r>
        <w:rPr>
          <w:b/>
          <w:bCs/>
          <w:sz w:val="22"/>
          <w:szCs w:val="22"/>
        </w:rPr>
        <w:t xml:space="preserve">What made this work — plant-class-aware detection. </w:t>
      </w:r>
      <w:r>
        <w:rPr>
          <w:sz w:val="22"/>
          <w:szCs w:val="22"/>
        </w:rPr>
        <w:t xml:space="preserve">The rapid-movement plants needed the first-prominent-peak detector (Methods): the default low-pass over-smooths the sharp AP and mistimes it. Switching detectors reproduced the manual delay for most Mimosa/Venus recordings and raised Venus from 29.7 to 32.9 mm/s. For non-rapid plants the default cross-correlation already matched best (a fast-onset estimator and three variants were tested and rejected — median error 0.20 s vs 1.80 s; bakeoff figure).</w:t>
      </w:r>
    </w:p>
    <w:p>
      <w:pPr>
        <w:spacing w:after="40" w:before="160"/>
        <w:jc w:val="center"/>
      </w:pPr>
      <w:r>
        <w:drawing>
          <wp:inline distT="0" distB="0" distL="0" distR="0">
            <wp:extent cx="571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i/>
          <w:iCs/>
          <w:color w:val="555555"/>
          <w:sz w:val="17"/>
          <w:szCs w:val="17"/>
        </w:rPr>
        <w:t xml:space="preserve">Figure 4. Delay-estimator bakeoff for the non-rapid plants (lower = better): the default cross-correlation wins for every species. Rapid plants use first-prominent detection instead (Methods).</w:t>
      </w:r>
    </w:p>
    <w:p>
      <w:pPr>
        <w:spacing w:after="120"/>
        <w:jc w:val="both"/>
      </w:pPr>
      <w:r>
        <w:rPr>
          <w:b/>
          <w:bCs/>
          <w:sz w:val="22"/>
          <w:szCs w:val="22"/>
        </w:rPr>
        <w:t xml:space="preserve">The residual Sensitive Mimosa gap (automatic 19.9 vs manual 32.4) is a measurement-floor limit, not a code error. </w:t>
      </w:r>
      <w:r>
        <w:rPr>
          <w:sz w:val="22"/>
          <w:szCs w:val="22"/>
        </w:rPr>
        <w:t xml:space="preserve">On the fast (July) Mimosa recordings, isolating the sharp AP (high-pass) and cross-correlating gives ≈ 0 s — the AP reaches both closely-spaced electrodes essentially simultaneously — while the same test recovers the slower recordings (1.07 vs manual 1.04 s). Those manual 0.2–0.34 s values sit at the timing floor, which is why Mimosa’s manual SD (21.6) nearly equals its mean. Part of Mimosa’s spread is also that it contains two signal types (Section 4). Metadata corrected from the paper: Hierbabuena = Clinopodium douglasii; Chilean Chile = Capsicum baccatum; amplifier ≈ 0.2–130 Hz.</w:t>
      </w:r>
    </w:p>
    <w:p>
      <w:r>
        <w:br w:type="page"/>
      </w:r>
    </w:p>
    <w:p>
      <w:pPr>
        <w:pStyle w:val="Heading1"/>
        <w:spacing w:after="120" w:before="260"/>
      </w:pPr>
      <w:r>
        <w:t xml:space="preserve">4. Two potential types: action potentials and variation potentials</w:t>
      </w:r>
    </w:p>
    <w:p>
      <w:pPr>
        <w:spacing w:after="120"/>
        <w:jc w:val="both"/>
      </w:pPr>
      <w:r>
        <w:rPr>
          <w:sz w:val="22"/>
          <w:szCs w:val="22"/>
        </w:rPr>
        <w:t xml:space="preserve">Mimosa pudica and other plants fire </w:t>
      </w:r>
      <w:r>
        <w:rPr>
          <w:b/>
          <w:bCs/>
          <w:sz w:val="22"/>
          <w:szCs w:val="22"/>
        </w:rPr>
        <w:t xml:space="preserve">two</w:t>
      </w:r>
      <w:r>
        <w:rPr>
          <w:sz w:val="22"/>
          <w:szCs w:val="22"/>
        </w:rPr>
        <w:t xml:space="preserve"> kinds of electrical signal: a fast, often biphasic </w:t>
      </w:r>
      <w:r>
        <w:rPr>
          <w:b/>
          <w:bCs/>
          <w:sz w:val="22"/>
          <w:szCs w:val="22"/>
        </w:rPr>
        <w:t xml:space="preserve">action potential</w:t>
      </w:r>
      <w:r>
        <w:rPr>
          <w:sz w:val="22"/>
          <w:szCs w:val="22"/>
        </w:rPr>
        <w:t xml:space="preserve"> (non-damaging stimuli; ~1 s; ~2–3 cm/s) and a slow, long-lasting </w:t>
      </w:r>
      <w:r>
        <w:rPr>
          <w:b/>
          <w:bCs/>
          <w:sz w:val="22"/>
          <w:szCs w:val="22"/>
        </w:rPr>
        <w:t xml:space="preserve">variation potential</w:t>
      </w:r>
      <w:r>
        <w:rPr>
          <w:sz w:val="22"/>
          <w:szCs w:val="22"/>
        </w:rPr>
        <w:t xml:space="preserve"> (wounding; tens–hundreds of seconds; decremental) — Volkov 2010; Fromm &amp; Lautner 2007. Classifying each recording by the duration of its dominant deflection gives a clearly </w:t>
      </w:r>
      <w:r>
        <w:rPr>
          <w:b/>
          <w:bCs/>
          <w:sz w:val="22"/>
          <w:szCs w:val="22"/>
        </w:rPr>
        <w:t xml:space="preserve">bimodal</w:t>
      </w:r>
      <w:r>
        <w:rPr>
          <w:sz w:val="22"/>
          <w:szCs w:val="22"/>
        </w:rPr>
        <w:t xml:space="preserve"> distribution — 120 AP-like (&lt; 2 s) and 56 VP-like (&gt; 2 s). Sensitive Mimosa itself splits 14 AP-like / 4 VP-like and Venus flytrap 13 / 5, so their wide CV spread partly reflects a mixture of the two types.</w:t>
      </w:r>
    </w:p>
    <w:p>
      <w:pPr>
        <w:spacing w:after="120"/>
        <w:jc w:val="both"/>
      </w:pPr>
      <w:r>
        <w:rPr>
          <w:b/>
          <w:bCs/>
          <w:sz w:val="22"/>
          <w:szCs w:val="22"/>
        </w:rPr>
        <w:t xml:space="preserve">The type changes the model fit (a preview of Section 6). </w:t>
      </w:r>
      <w:r>
        <w:rPr>
          <w:sz w:val="22"/>
          <w:szCs w:val="22"/>
        </w:rPr>
        <w:t xml:space="preserve">VP-like recordings need about </w:t>
      </w:r>
      <w:r>
        <w:rPr>
          <w:b/>
          <w:bCs/>
          <w:sz w:val="22"/>
          <w:szCs w:val="22"/>
        </w:rPr>
        <w:t xml:space="preserve">twice</w:t>
      </w:r>
      <w:r>
        <w:rPr>
          <w:sz w:val="22"/>
          <w:szCs w:val="22"/>
        </w:rPr>
        <w:t xml:space="preserve"> the passive dispersion σ of AP-like ones (0.45 vs 0.25 s, p ≈ 0.05) and conduct slightly slower — i.e. VP-like are more passive/decremental and AP-like more shape-preserving/active. A biophysical action-potential model (Section 6) is the right model for the AP-type recordings; the VP-type would need a passive/hydraulic model instead.</w:t>
      </w:r>
    </w:p>
    <w:p>
      <w:pPr>
        <w:spacing w:after="40" w:before="1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52600"/>
                    </a:xfrm>
                    <a:prstGeom prst="rect">
                      <a:avLst/>
                    </a:prstGeom>
                  </pic:spPr>
                </pic:pic>
              </a:graphicData>
            </a:graphic>
          </wp:inline>
        </w:drawing>
      </w:r>
    </w:p>
    <w:p>
      <w:pPr>
        <w:spacing w:after="200"/>
        <w:jc w:val="center"/>
      </w:pPr>
      <w:r>
        <w:rPr>
          <w:i/>
          <w:iCs/>
          <w:color w:val="555555"/>
          <w:sz w:val="17"/>
          <w:szCs w:val="17"/>
        </w:rPr>
        <w:t xml:space="preserve">Figure 5. Each recording classified as a fast action potential (AP-like, &lt; 2 s) or slow variation potential (VP-like, &gt; 2 s). Left: bimodal duration distribution. Middle: VP-like need more passive dispersion (more decremental). Right: AP-like conduct faster.</w:t>
      </w:r>
    </w:p>
    <w:p>
      <w:r>
        <w:br w:type="page"/>
      </w:r>
    </w:p>
    <w:p>
      <w:pPr>
        <w:pStyle w:val="Heading1"/>
        <w:spacing w:after="120" w:before="260"/>
      </w:pPr>
      <w:r>
        <w:t xml:space="preserve">5. From near to far: comparing the two channels</w:t>
      </w:r>
    </w:p>
    <w:p>
      <w:pPr>
        <w:spacing w:after="120"/>
        <w:jc w:val="both"/>
      </w:pPr>
      <w:r>
        <w:rPr>
          <w:sz w:val="22"/>
          <w:szCs w:val="22"/>
        </w:rPr>
        <w:t xml:space="preserve">The two channels are </w:t>
      </w:r>
      <w:r>
        <w:rPr>
          <w:b/>
          <w:bCs/>
          <w:sz w:val="22"/>
          <w:szCs w:val="22"/>
        </w:rPr>
        <w:t xml:space="preserve">correlated by design</w:t>
      </w:r>
      <w:r>
        <w:rPr>
          <w:sz w:val="22"/>
          <w:szCs w:val="22"/>
        </w:rPr>
        <w:t xml:space="preserve"> — both electrodes share a soil/earth reference, so any whole-plant potential appears in both (baseline r ≈ 0.66). This is a normal referential montage, not crosstalk, and it does not prevent measuring the delay (a common-mode-robust 2-tap model separates the shared part from the propagated part).</w:t>
      </w:r>
    </w:p>
    <w:p>
      <w:pPr>
        <w:spacing w:after="40" w:before="16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91000"/>
                    </a:xfrm>
                    <a:prstGeom prst="rect">
                      <a:avLst/>
                    </a:prstGeom>
                  </pic:spPr>
                </pic:pic>
              </a:graphicData>
            </a:graphic>
          </wp:inline>
        </w:drawing>
      </w:r>
    </w:p>
    <w:p>
      <w:pPr>
        <w:spacing w:after="200"/>
        <w:jc w:val="center"/>
      </w:pPr>
      <w:r>
        <w:rPr>
          <w:i/>
          <w:iCs/>
          <w:color w:val="555555"/>
          <w:sz w:val="17"/>
          <w:szCs w:val="17"/>
        </w:rPr>
        <w:t xml:space="preserve">Figure 6. Both channels, full trace and pre-stimulus baseline. Mimosa: baseline r = 0.96 (shared slow wave via the common ground). Cannabis: r = 0.20 (clean delay). Venus: a sharp spike in both channels close together.</w:t>
      </w:r>
    </w:p>
    <w:p>
      <w:pPr>
        <w:spacing w:after="120"/>
        <w:jc w:val="both"/>
      </w:pPr>
      <w:r>
        <w:rPr>
          <w:b/>
          <w:bCs/>
          <w:sz w:val="22"/>
          <w:szCs w:val="22"/>
        </w:rPr>
        <w:t xml:space="preserve">From near to far the potential attenuates and broadens, while largely preserving its shape </w:t>
      </w:r>
      <w:r>
        <w:rPr>
          <w:sz w:val="22"/>
          <w:szCs w:val="22"/>
        </w:rPr>
        <w:t xml:space="preserve">(far/near amplitude median ≈ 0.44, FWHM ratio ≈ 1.31, waveform correlation ≈ 0.80). Within-species spread exceeds between-species differences.</w:t>
      </w:r>
    </w:p>
    <w:p>
      <w:pPr>
        <w:spacing w:after="40" w:before="160"/>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715000"/>
                    </a:xfrm>
                    <a:prstGeom prst="rect">
                      <a:avLst/>
                    </a:prstGeom>
                  </pic:spPr>
                </pic:pic>
              </a:graphicData>
            </a:graphic>
          </wp:inline>
        </w:drawing>
      </w:r>
    </w:p>
    <w:p>
      <w:pPr>
        <w:spacing w:after="200"/>
        <w:jc w:val="center"/>
      </w:pPr>
      <w:r>
        <w:rPr>
          <w:i/>
          <w:iCs/>
          <w:color w:val="555555"/>
          <w:sz w:val="17"/>
          <w:szCs w:val="17"/>
        </w:rPr>
        <w:t xml:space="preserve">Figure 7. Near vs far response per species, each self-aligned on its own peak (arbitrary gap), both normalised to the near peak so the far amplitude drop is visible. Thin traces coloured by potential type (AP-like green, VP-like purple); thick = median, band = IQR; far/near ratio printed per panel.</w:t>
      </w:r>
    </w:p>
    <w:p>
      <w:pPr>
        <w:spacing w:after="40" w:before="160"/>
        <w:jc w:val="center"/>
      </w:pPr>
      <w:r>
        <w:drawing>
          <wp:inline distT="0" distB="0" distL="0" distR="0">
            <wp:extent cx="571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752600"/>
                    </a:xfrm>
                    <a:prstGeom prst="rect">
                      <a:avLst/>
                    </a:prstGeom>
                  </pic:spPr>
                </pic:pic>
              </a:graphicData>
            </a:graphic>
          </wp:inline>
        </w:drawing>
      </w:r>
    </w:p>
    <w:p>
      <w:pPr>
        <w:spacing w:after="200"/>
        <w:jc w:val="center"/>
      </w:pPr>
      <w:r>
        <w:rPr>
          <w:i/>
          <w:iCs/>
          <w:color w:val="555555"/>
          <w:sz w:val="17"/>
          <w:szCs w:val="17"/>
        </w:rPr>
        <w:t xml:space="preserve">Figure 8. The three metrics pooled across all recordings: amplitude ratio (median 0.44), width ratio (1.31), waveform similarity (0.80).</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9. Attenuation vs broadening co-vary: signals that lose amplitude also disperse (passive low-pass filtering); those that keep amplitude keep their shape.</w:t>
      </w:r>
    </w:p>
    <w:p>
      <w:r>
        <w:br w:type="page"/>
      </w:r>
    </w:p>
    <w:p>
      <w:pPr>
        <w:pStyle w:val="Heading1"/>
        <w:spacing w:after="120" w:before="260"/>
      </w:pPr>
      <w:r>
        <w:t xml:space="preserve">6. Active or passive? Modelling and predicting the propagation mode</w:t>
      </w:r>
    </w:p>
    <w:p>
      <w:pPr>
        <w:spacing w:after="120"/>
        <w:jc w:val="both"/>
      </w:pPr>
      <w:r>
        <w:rPr>
          <w:sz w:val="22"/>
          <w:szCs w:val="22"/>
        </w:rPr>
        <w:t xml:space="preserve">Plant signals span a spectrum from self-regenerating action potentials (active; all-or-none, non-decremental, shape-preserving) to decremental variation potentials (passive; graded, dispersive). </w:t>
      </w:r>
      <w:r>
        <w:rPr>
          <w:b/>
          <w:bCs/>
          <w:sz w:val="22"/>
          <w:szCs w:val="22"/>
        </w:rPr>
        <w:t xml:space="preserve">Two surface electrodes cannot settle this definitively</w:t>
      </w:r>
      <w:r>
        <w:rPr>
          <w:sz w:val="22"/>
          <w:szCs w:val="22"/>
        </w:rPr>
        <w:t xml:space="preserve">, so we make a </w:t>
      </w:r>
      <w:r>
        <w:rPr>
          <w:b/>
          <w:bCs/>
          <w:sz w:val="22"/>
          <w:szCs w:val="22"/>
        </w:rPr>
        <w:t xml:space="preserve">prediction</w:t>
      </w:r>
      <w:r>
        <w:rPr>
          <w:sz w:val="22"/>
          <w:szCs w:val="22"/>
        </w:rPr>
        <w:t xml:space="preserve">, not a conclusion, using two amplitude-independent handles.</w:t>
      </w:r>
    </w:p>
    <w:p>
      <w:pPr>
        <w:spacing w:after="120"/>
        <w:jc w:val="both"/>
      </w:pPr>
      <w:r>
        <w:rPr>
          <w:b/>
          <w:bCs/>
          <w:sz w:val="22"/>
          <w:szCs w:val="22"/>
        </w:rPr>
        <w:t xml:space="preserve">How we fit — and what we discarded. </w:t>
      </w:r>
      <w:r>
        <w:rPr>
          <w:sz w:val="22"/>
          <w:szCs w:val="22"/>
        </w:rPr>
        <w:t xml:space="preserve">For every recording we predict the far trace from the near trace with an </w:t>
      </w:r>
      <w:r>
        <w:rPr>
          <w:b/>
          <w:bCs/>
          <w:sz w:val="22"/>
          <w:szCs w:val="22"/>
        </w:rPr>
        <w:t xml:space="preserve">active</w:t>
      </w:r>
      <w:r>
        <w:rPr>
          <w:sz w:val="22"/>
          <w:szCs w:val="22"/>
        </w:rPr>
        <w:t xml:space="preserve"> model (delayed copy, far ≈ g·near(t−τ)) and a </w:t>
      </w:r>
      <w:r>
        <w:rPr>
          <w:b/>
          <w:bCs/>
          <w:sz w:val="22"/>
          <w:szCs w:val="22"/>
        </w:rPr>
        <w:t xml:space="preserve">passive</w:t>
      </w:r>
      <w:r>
        <w:rPr>
          <w:sz w:val="22"/>
          <w:szCs w:val="22"/>
        </w:rPr>
        <w:t xml:space="preserve"> model (delayed + dispersed, far ≈ g·[Gaussian(σ)*near](t−τ)), each optimised to its best parameters. We fit the </w:t>
      </w:r>
      <w:r>
        <w:rPr>
          <w:i/>
          <w:iCs/>
          <w:sz w:val="22"/>
          <w:szCs w:val="22"/>
        </w:rPr>
        <w:t xml:space="preserve">waveform</w:t>
      </w:r>
      <w:r>
        <w:rPr>
          <w:sz w:val="22"/>
          <w:szCs w:val="22"/>
        </w:rPr>
        <w:t xml:space="preserve"> (gain free — shape only), which is the trustworthy comparison. We </w:t>
      </w:r>
      <w:r>
        <w:rPr>
          <w:b/>
          <w:bCs/>
          <w:sz w:val="22"/>
          <w:szCs w:val="22"/>
        </w:rPr>
        <w:t xml:space="preserve">dropped the amplitude fit</w:t>
      </w:r>
      <w:r>
        <w:rPr>
          <w:sz w:val="22"/>
          <w:szCs w:val="22"/>
        </w:rPr>
        <w:t xml:space="preserve"> (gain fixed = 1): it is uninterpretable — the active model collapses (R² &lt; −50) because the far amplitude is not preserved, but that drop is confounded by electrode coupling (Venus’s asymmetric hook/stake montage gives far/near ratios scattered 0.12–7.3), so amplitude cannot discriminate active from passive. The passive model contains the active model (σ = 0), so the </w:t>
      </w:r>
      <w:r>
        <w:rPr>
          <w:b/>
          <w:bCs/>
          <w:sz w:val="22"/>
          <w:szCs w:val="22"/>
        </w:rPr>
        <w:t xml:space="preserve">gap</w:t>
      </w:r>
      <w:r>
        <w:rPr>
          <w:sz w:val="22"/>
          <w:szCs w:val="22"/>
        </w:rPr>
        <w:t xml:space="preserve"> between them is how much dispersion is needed.</w:t>
      </w:r>
    </w:p>
    <w:p>
      <w:pPr>
        <w:spacing w:after="40" w:before="16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419350"/>
                    </a:xfrm>
                    <a:prstGeom prst="rect">
                      <a:avLst/>
                    </a:prstGeom>
                  </pic:spPr>
                </pic:pic>
              </a:graphicData>
            </a:graphic>
          </wp:inline>
        </w:drawing>
      </w:r>
    </w:p>
    <w:p>
      <w:pPr>
        <w:spacing w:after="200"/>
        <w:jc w:val="center"/>
      </w:pPr>
      <w:r>
        <w:rPr>
          <w:i/>
          <w:iCs/>
          <w:color w:val="555555"/>
          <w:sz w:val="17"/>
          <w:szCs w:val="17"/>
        </w:rPr>
        <w:t xml:space="preserve">Figure 10. Active vs passive waveform fit per species (each recording a dot, bar = median). Venus flytrap and Sensitive Mimosa have the highest R² and smallest gap (shape-preserving, active-like); the mints need the most dispersion (passive-like).</w:t>
      </w:r>
    </w:p>
    <w:p>
      <w:pPr>
        <w:spacing w:after="40" w:before="160"/>
        <w:jc w:val="center"/>
      </w:pPr>
      <w:r>
        <w:drawing>
          <wp:inline distT="0" distB="0" distL="0" distR="0">
            <wp:extent cx="5715000" cy="675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753225"/>
                    </a:xfrm>
                    <a:prstGeom prst="rect">
                      <a:avLst/>
                    </a:prstGeom>
                  </pic:spPr>
                </pic:pic>
              </a:graphicData>
            </a:graphic>
          </wp:inline>
        </w:drawing>
      </w:r>
    </w:p>
    <w:p>
      <w:pPr>
        <w:spacing w:after="200"/>
        <w:jc w:val="center"/>
      </w:pPr>
      <w:r>
        <w:rPr>
          <w:i/>
          <w:iCs/>
          <w:color w:val="555555"/>
          <w:sz w:val="17"/>
          <w:szCs w:val="17"/>
        </w:rPr>
        <w:t xml:space="preserve">Figure 11. Example fits (near/far corrected): near (grey), real far (red), best active (blue dashed) and passive (green dotted) predictions.</w:t>
      </w:r>
    </w:p>
    <w:p>
      <w:pPr>
        <w:spacing w:after="120"/>
        <w:jc w:val="both"/>
      </w:pPr>
      <w:r>
        <w:rPr>
          <w:b/>
          <w:bCs/>
          <w:sz w:val="22"/>
          <w:szCs w:val="22"/>
        </w:rPr>
        <w:t xml:space="preserve">Two amplitude-independent discriminators agree. </w:t>
      </w:r>
      <w:r>
        <w:rPr>
          <w:sz w:val="22"/>
          <w:szCs w:val="22"/>
        </w:rPr>
        <w:t xml:space="preserve">Peak−onset asymmetry (dispersion) is ≈ 0 for Venus/Mimosa and large for the mints; the delay scales linearly with distance (exponent ≈ 0.99 — constant velocity, not diffusion).</w:t>
      </w:r>
    </w:p>
    <w:p>
      <w:pPr>
        <w:spacing w:after="4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555555"/>
          <w:sz w:val="17"/>
          <w:szCs w:val="17"/>
        </w:rPr>
        <w:t xml:space="preserve">Figure 12. Peak−onset asymmetry (amplitude-independent): ≈ 0 = rigid translation (active), large = dispersion (passive).</w:t>
      </w:r>
    </w:p>
    <w:p>
      <w:pPr>
        <w:spacing w:after="40" w:before="16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572000"/>
                    </a:xfrm>
                    <a:prstGeom prst="rect">
                      <a:avLst/>
                    </a:prstGeom>
                  </pic:spPr>
                </pic:pic>
              </a:graphicData>
            </a:graphic>
          </wp:inline>
        </w:drawing>
      </w:r>
    </w:p>
    <w:p>
      <w:pPr>
        <w:spacing w:after="200"/>
        <w:jc w:val="center"/>
      </w:pPr>
      <w:r>
        <w:rPr>
          <w:i/>
          <w:iCs/>
          <w:color w:val="555555"/>
          <w:sz w:val="17"/>
          <w:szCs w:val="17"/>
        </w:rPr>
        <w:t xml:space="preserve">Figure 13. Delay vs distance: linear through ~origin (exponent ≈ 0.99) = constant-velocity propagation, not diffusion.</w:t>
      </w:r>
    </w:p>
    <w:p>
      <w:pPr>
        <w:spacing w:after="120"/>
        <w:jc w:val="both"/>
      </w:pPr>
      <w:r>
        <w:rPr>
          <w:b/>
          <w:bCs/>
          <w:sz w:val="22"/>
          <w:szCs w:val="22"/>
        </w:rPr>
        <w:t xml:space="preserve">Simulations reproduce the waveforms. </w:t>
      </w:r>
      <w:r>
        <w:rPr>
          <w:sz w:val="22"/>
          <w:szCs w:val="22"/>
        </w:rPr>
        <w:t xml:space="preserve">A passive cable makes the far signal a delayed, decayed, dispersed copy of the near one; a FitzHugh–Nagumo active cable gives a constant-amplitude travelling pulse. A Hodgkin–Huxley-type plant AP model (Ca²⁺→Cl⁻→K⁺, no Na⁺), passed through the recording band-pass, reproduces the recorded Venus waveform and fires all-or-none — a concrete active model for the AP-type recordings.</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14. Passive cable (decays and broadens with distance) vs FitzHugh–Nagumo active wave (constant amplitude and velocity).</w:t>
      </w:r>
    </w:p>
    <w:p>
      <w:pPr>
        <w:spacing w:after="4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color w:val="555555"/>
          <w:sz w:val="17"/>
          <w:szCs w:val="17"/>
        </w:rPr>
        <w:t xml:space="preserve">Figure 15. HH-type plant AP model (Ca²⁺→Cl⁻→K⁺). Left: V and Ca²⁺. Middle: all-or-none. Right: the band-passed model AP matches a real Venus AP.</w:t>
      </w:r>
    </w:p>
    <w:p>
      <w:pPr>
        <w:spacing w:after="120"/>
        <w:jc w:val="both"/>
      </w:pPr>
      <w:r>
        <w:rPr>
          <w:b/>
          <w:bCs/>
          <w:sz w:val="22"/>
          <w:szCs w:val="22"/>
        </w:rPr>
        <w:t xml:space="preserve">The prediction. </w:t>
      </w:r>
      <w:r>
        <w:rPr>
          <w:sz w:val="22"/>
          <w:szCs w:val="22"/>
        </w:rPr>
        <w:t xml:space="preserve">Combining the amplitude-independent handles (dispersion, peak−onset asymmetry, waveform fidelity) into a single score classifies each species as active-leaning, passive-leaning or ambiguous. Venus flytrap and Sensitive Mimosa — the known action-potential plants — come out active-leaning, validating the score; Ornamental Chile and most mints are passive-leaning; the rest are intermediate. This is our prediction for the untested species, to be confirmed by the experiments in Section 9.</w:t>
      </w:r>
    </w:p>
    <w:p>
      <w:pPr>
        <w:spacing w:after="40" w:before="16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00325"/>
                    </a:xfrm>
                    <a:prstGeom prst="rect">
                      <a:avLst/>
                    </a:prstGeom>
                  </pic:spPr>
                </pic:pic>
              </a:graphicData>
            </a:graphic>
          </wp:inline>
        </w:drawing>
      </w:r>
    </w:p>
    <w:p>
      <w:pPr>
        <w:spacing w:after="200"/>
        <w:jc w:val="center"/>
      </w:pPr>
      <w:r>
        <w:rPr>
          <w:i/>
          <w:iCs/>
          <w:color w:val="555555"/>
          <w:sz w:val="17"/>
          <w:szCs w:val="17"/>
        </w:rPr>
        <w:t xml:space="preserve">Figure 16. Predicted propagation mode per species (passiveness score = dispersion + peak−onset asymmetry − waveform fidelity, z-scored). Green = active-leaning, red = passive-leaning; the known AP plants (Venus, Mimosa) score most active.</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17. Control: Venus’s far/near amplitude ratio is scattered and often &gt; 1 (asymmetric electrodes), unlike the consistent decrement of symmetric-electrode plants — why amplitude is not used above.</w:t>
      </w:r>
    </w:p>
    <w:p>
      <w:r>
        <w:br w:type="page"/>
      </w:r>
    </w:p>
    <w:p>
      <w:pPr>
        <w:pStyle w:val="Heading1"/>
        <w:spacing w:after="120" w:before="260"/>
      </w:pPr>
      <w:r>
        <w:t xml:space="preserve">7. Grouping by all parameters: is propagation phylogenetically structured?</w:t>
      </w:r>
    </w:p>
    <w:p>
      <w:pPr>
        <w:spacing w:after="120"/>
        <w:jc w:val="both"/>
      </w:pPr>
      <w:r>
        <w:rPr>
          <w:sz w:val="22"/>
          <w:szCs w:val="22"/>
        </w:rPr>
        <w:t xml:space="preserve">Finally we group species using every parameter found along the way — CV, attenuation, broadening, waveform fidelity, dispersion σ, and AP-like fraction. If signal transmission were phylogenetically constrained, congeners and same-family species would cluster. They do </w:t>
      </w:r>
      <w:r>
        <w:rPr>
          <w:b/>
          <w:bCs/>
          <w:sz w:val="22"/>
          <w:szCs w:val="22"/>
        </w:rPr>
        <w:t xml:space="preserve">not</w:t>
      </w:r>
      <w:r>
        <w:rPr>
          <w:sz w:val="22"/>
          <w:szCs w:val="22"/>
        </w:rPr>
        <w:t xml:space="preserve">.</w:t>
      </w:r>
    </w:p>
    <w:p>
      <w:pPr>
        <w:spacing w:after="4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i/>
          <w:iCs/>
          <w:color w:val="555555"/>
          <w:sz w:val="17"/>
          <w:szCs w:val="17"/>
        </w:rPr>
        <w:t xml:space="preserve">Figure 18. Species clustered by all propagation parameters (label colour = family). Families are scattered across the tree — no phylogenetic structure. Venus flytrap and Sensitive Mimosa cluster as the active pair.</w:t>
      </w:r>
    </w:p>
    <w:p>
      <w:pPr>
        <w:spacing w:after="120"/>
        <w:jc w:val="both"/>
      </w:pPr>
      <w:r>
        <w:rPr>
          <w:b/>
          <w:bCs/>
          <w:sz w:val="22"/>
          <w:szCs w:val="22"/>
        </w:rPr>
        <w:t xml:space="preserve">Solanaceae are not internally more similar. </w:t>
      </w:r>
      <w:r>
        <w:rPr>
          <w:sz w:val="22"/>
          <w:szCs w:val="22"/>
        </w:rPr>
        <w:t xml:space="preserve">A Mantel test between functional distance and taxonomic distance is null (r = −0.02, p = 0.50). Breaking it down by family: Lamiaceae (5 species) are marginally more similar within (mean within-distance 2.35 vs 2.89 to others), but </w:t>
      </w:r>
      <w:r>
        <w:rPr>
          <w:b/>
          <w:bCs/>
          <w:sz w:val="22"/>
          <w:szCs w:val="22"/>
        </w:rPr>
        <w:t xml:space="preserve">Solanaceae (3 species) are not</w:t>
      </w:r>
      <w:r>
        <w:rPr>
          <w:sz w:val="22"/>
          <w:szCs w:val="22"/>
        </w:rPr>
        <w:t xml:space="preserve"> — the two Capsicum chiles and Tomato are more different from each other (3.72) than from species in other families (3.00). Congeners diverge as much as unrelated species. The propagation profile reflects the biophysics of each conduction event and the signal type, not the species’ ancestry.</w:t>
      </w:r>
    </w:p>
    <w:p>
      <w:r>
        <w:br w:type="page"/>
      </w:r>
    </w:p>
    <w:p>
      <w:pPr>
        <w:pStyle w:val="Heading1"/>
        <w:spacing w:after="120" w:before="260"/>
      </w:pPr>
      <w:r>
        <w:t xml:space="preserve">8. Ion channels and molecular basis (context)</w:t>
      </w:r>
    </w:p>
    <w:p>
      <w:pPr>
        <w:spacing w:after="120"/>
        <w:jc w:val="both"/>
      </w:pPr>
      <w:r>
        <w:rPr>
          <w:sz w:val="22"/>
          <w:szCs w:val="22"/>
        </w:rPr>
        <w:t xml:space="preserve">Plant excitation is Ca²⁺/Cl⁻/K⁺-based, </w:t>
      </w:r>
      <w:r>
        <w:rPr>
          <w:b/>
          <w:bCs/>
          <w:sz w:val="22"/>
          <w:szCs w:val="22"/>
        </w:rPr>
        <w:t xml:space="preserve">not</w:t>
      </w:r>
      <w:r>
        <w:rPr>
          <w:sz w:val="22"/>
          <w:szCs w:val="22"/>
        </w:rPr>
        <w:t xml:space="preserve"> Na⁺-based (Fromm &amp; Lautner 2007; Sukhov &amp; Vodeneev 2009).</w:t>
      </w:r>
    </w:p>
    <w:p>
      <w:pPr>
        <w:pStyle w:val="ListParagraph"/>
        <w:numPr>
          <w:ilvl w:val="0"/>
          <w:numId w:val="2"/>
        </w:numPr>
        <w:spacing w:after="60"/>
      </w:pPr>
      <w:r>
        <w:rPr>
          <w:sz w:val="22"/>
          <w:szCs w:val="22"/>
        </w:rPr>
        <w:t xml:space="preserve">Depolarisation — Ca²⁺ influx via GLUTAMATE-RECEPTOR-LIKE channels (GLR3.3 / GLR3.6) (Mousavi 2013; Toyota 2018; Nguyen 2018).</w:t>
      </w:r>
    </w:p>
    <w:p>
      <w:pPr>
        <w:pStyle w:val="ListParagraph"/>
        <w:numPr>
          <w:ilvl w:val="0"/>
          <w:numId w:val="2"/>
        </w:numPr>
        <w:spacing w:after="60"/>
      </w:pPr>
      <w:r>
        <w:rPr>
          <w:sz w:val="22"/>
          <w:szCs w:val="22"/>
        </w:rPr>
        <w:t xml:space="preserve">Sustained depolarisation — anion (Cl⁻) efflux via SLAC1/SLAH3 and QUAC1/ALMT12.</w:t>
      </w:r>
    </w:p>
    <w:p>
      <w:pPr>
        <w:pStyle w:val="ListParagraph"/>
        <w:numPr>
          <w:ilvl w:val="0"/>
          <w:numId w:val="2"/>
        </w:numPr>
        <w:spacing w:after="60"/>
      </w:pPr>
      <w:r>
        <w:rPr>
          <w:sz w:val="22"/>
          <w:szCs w:val="22"/>
        </w:rPr>
        <w:t xml:space="preserve">Repolarisation — K⁺ efflux via GORK (Salvador-Recatalà 2018); resting potential set by the P-type H⁺-ATPase (AHA).</w:t>
      </w:r>
    </w:p>
    <w:p>
      <w:pPr>
        <w:pStyle w:val="ListParagraph"/>
        <w:numPr>
          <w:ilvl w:val="0"/>
          <w:numId w:val="2"/>
        </w:numPr>
        <w:spacing w:after="60"/>
      </w:pPr>
      <w:r>
        <w:rPr>
          <w:sz w:val="22"/>
          <w:szCs w:val="22"/>
        </w:rPr>
        <w:t xml:space="preserve">Variation potential — transient H⁺-ATPase inactivation behind a xylem “Ricca factor” wave (Evans 2017).</w:t>
      </w:r>
    </w:p>
    <w:p>
      <w:pPr>
        <w:pStyle w:val="ListParagraph"/>
        <w:numPr>
          <w:ilvl w:val="0"/>
          <w:numId w:val="2"/>
        </w:numPr>
        <w:spacing w:after="60"/>
      </w:pPr>
      <w:r>
        <w:rPr>
          <w:sz w:val="22"/>
          <w:szCs w:val="22"/>
        </w:rPr>
        <w:t xml:space="preserve">Venus flytrap — trigger-hair mechanosensing → all-or-none Ca²⁺ AP; AP counting gates jasmonate signalling (Böhm 2016; Hedrich &amp; Neher 2018). Mimosa pudica — Ca²⁺-mediated Cl⁻/K⁺ efflux collapses pulvinar turgor; fires both APs and VPs (Volkov 2010).</w:t>
      </w:r>
    </w:p>
    <w:p>
      <w:pPr>
        <w:pStyle w:val="Heading1"/>
        <w:spacing w:after="120" w:before="260"/>
      </w:pPr>
      <w:r>
        <w:t xml:space="preserve">9. What this dataset cannot decide — and the minimal new experiment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1f3f66" w:val="clear"/>
            <w:tcMar>
              <w:top w:type="dxa" w:w="60"/>
              <w:left w:type="dxa" w:w="90"/>
              <w:bottom w:type="dxa" w:w="60"/>
              <w:right w:type="dxa" w:w="90"/>
            </w:tcMar>
          </w:tcPr>
          <w:p>
            <w:r>
              <w:rPr>
                <w:b/>
                <w:bCs/>
                <w:color w:val="FFFFFF"/>
                <w:sz w:val="19"/>
                <w:szCs w:val="19"/>
              </w:rPr>
              <w:t xml:space="preserve">Open question</w:t>
            </w:r>
          </w:p>
        </w:tc>
        <w:tc>
          <w:tcPr>
            <w:tcW w:type="dxa" w:w="6160"/>
            <w:shd w:fill="1f3f66" w:val="clear"/>
            <w:tcMar>
              <w:top w:type="dxa" w:w="60"/>
              <w:left w:type="dxa" w:w="90"/>
              <w:bottom w:type="dxa" w:w="60"/>
              <w:right w:type="dxa" w:w="90"/>
            </w:tcMar>
          </w:tcPr>
          <w:p>
            <w:r>
              <w:rPr>
                <w:b/>
                <w:bCs/>
                <w:color w:val="FFFFFF"/>
                <w:sz w:val="19"/>
                <w:szCs w:val="19"/>
              </w:rPr>
              <w:t xml:space="preserve">Minimal new experiment</w:t>
            </w:r>
          </w:p>
        </w:tc>
      </w:tr>
      <w:tr>
        <w:tc>
          <w:tcPr>
            <w:tcW w:type="dxa" w:w="3200"/>
            <w:tcMar>
              <w:top w:type="dxa" w:w="60"/>
              <w:left w:type="dxa" w:w="90"/>
              <w:bottom w:type="dxa" w:w="60"/>
              <w:right w:type="dxa" w:w="90"/>
            </w:tcMar>
          </w:tcPr>
          <w:p>
            <w:r>
              <w:rPr>
                <w:b w:val="false"/>
                <w:bCs w:val="false"/>
                <w:color w:val="000000"/>
                <w:sz w:val="19"/>
                <w:szCs w:val="19"/>
              </w:rPr>
              <w:t xml:space="preserve">True all-or-none threshold</w:t>
            </w:r>
          </w:p>
        </w:tc>
        <w:tc>
          <w:tcPr>
            <w:tcW w:type="dxa" w:w="6160"/>
            <w:tcMar>
              <w:top w:type="dxa" w:w="60"/>
              <w:left w:type="dxa" w:w="90"/>
              <w:bottom w:type="dxa" w:w="60"/>
              <w:right w:type="dxa" w:w="90"/>
            </w:tcMar>
          </w:tcPr>
          <w:p>
            <w:r>
              <w:rPr>
                <w:b w:val="false"/>
                <w:bCs w:val="false"/>
                <w:color w:val="000000"/>
                <w:sz w:val="19"/>
                <w:szCs w:val="19"/>
              </w:rPr>
              <w:t xml:space="preserve">Stimulus-intensity ladder: step response (active) vs graded (passive)</w:t>
            </w:r>
          </w:p>
        </w:tc>
      </w:tr>
      <w:tr>
        <w:tc>
          <w:tcPr>
            <w:tcW w:type="dxa" w:w="3200"/>
            <w:tcMar>
              <w:top w:type="dxa" w:w="60"/>
              <w:left w:type="dxa" w:w="90"/>
              <w:bottom w:type="dxa" w:w="60"/>
              <w:right w:type="dxa" w:w="90"/>
            </w:tcMar>
          </w:tcPr>
          <w:p>
            <w:r>
              <w:rPr>
                <w:b w:val="false"/>
                <w:bCs w:val="false"/>
                <w:color w:val="000000"/>
                <w:sz w:val="19"/>
                <w:szCs w:val="19"/>
              </w:rPr>
              <w:t xml:space="preserve">Refractory period</w:t>
            </w:r>
          </w:p>
        </w:tc>
        <w:tc>
          <w:tcPr>
            <w:tcW w:type="dxa" w:w="6160"/>
            <w:tcMar>
              <w:top w:type="dxa" w:w="60"/>
              <w:left w:type="dxa" w:w="90"/>
              <w:bottom w:type="dxa" w:w="60"/>
              <w:right w:type="dxa" w:w="90"/>
            </w:tcMar>
          </w:tcPr>
          <w:p>
            <w:r>
              <w:rPr>
                <w:b w:val="false"/>
                <w:bCs w:val="false"/>
                <w:color w:val="000000"/>
                <w:sz w:val="19"/>
                <w:szCs w:val="19"/>
              </w:rPr>
              <w:t xml:space="preserve">Paired-pulse Δt = 0.5–20 min: is the second response abolished?</w:t>
            </w:r>
          </w:p>
        </w:tc>
      </w:tr>
      <w:tr>
        <w:tc>
          <w:tcPr>
            <w:tcW w:type="dxa" w:w="3200"/>
            <w:tcMar>
              <w:top w:type="dxa" w:w="60"/>
              <w:left w:type="dxa" w:w="90"/>
              <w:bottom w:type="dxa" w:w="60"/>
              <w:right w:type="dxa" w:w="90"/>
            </w:tcMar>
          </w:tcPr>
          <w:p>
            <w:r>
              <w:rPr>
                <w:b w:val="false"/>
                <w:bCs w:val="false"/>
                <w:color w:val="000000"/>
                <w:sz w:val="19"/>
                <w:szCs w:val="19"/>
              </w:rPr>
              <w:t xml:space="preserve">Regenerative ion mechanism</w:t>
            </w:r>
          </w:p>
        </w:tc>
        <w:tc>
          <w:tcPr>
            <w:tcW w:type="dxa" w:w="6160"/>
            <w:tcMar>
              <w:top w:type="dxa" w:w="60"/>
              <w:left w:type="dxa" w:w="90"/>
              <w:bottom w:type="dxa" w:w="60"/>
              <w:right w:type="dxa" w:w="90"/>
            </w:tcMar>
          </w:tcPr>
          <w:p>
            <w:r>
              <w:rPr>
                <w:b w:val="false"/>
                <w:bCs w:val="false"/>
                <w:color w:val="000000"/>
                <w:sz w:val="19"/>
                <w:szCs w:val="19"/>
              </w:rPr>
              <w:t xml:space="preserve">Pharmacology (La³⁺/Gd³⁺, A-9-C/DIDS, TEA) between wound and electrodes</w:t>
            </w:r>
          </w:p>
        </w:tc>
      </w:tr>
      <w:tr>
        <w:tc>
          <w:tcPr>
            <w:tcW w:type="dxa" w:w="3200"/>
            <w:tcMar>
              <w:top w:type="dxa" w:w="60"/>
              <w:left w:type="dxa" w:w="90"/>
              <w:bottom w:type="dxa" w:w="60"/>
              <w:right w:type="dxa" w:w="90"/>
            </w:tcMar>
          </w:tcPr>
          <w:p>
            <w:r>
              <w:rPr>
                <w:b w:val="false"/>
                <w:bCs w:val="false"/>
                <w:color w:val="000000"/>
                <w:sz w:val="19"/>
                <w:szCs w:val="19"/>
              </w:rPr>
              <w:t xml:space="preserve">Channel-gated vs physical conduction</w:t>
            </w:r>
          </w:p>
        </w:tc>
        <w:tc>
          <w:tcPr>
            <w:tcW w:type="dxa" w:w="6160"/>
            <w:tcMar>
              <w:top w:type="dxa" w:w="60"/>
              <w:left w:type="dxa" w:w="90"/>
              <w:bottom w:type="dxa" w:w="60"/>
              <w:right w:type="dxa" w:w="90"/>
            </w:tcMar>
          </w:tcPr>
          <w:p>
            <w:r>
              <w:rPr>
                <w:b w:val="false"/>
                <w:bCs w:val="false"/>
                <w:color w:val="000000"/>
                <w:sz w:val="19"/>
                <w:szCs w:val="19"/>
              </w:rPr>
              <w:t xml:space="preserve">Q10 series (15/25/35 °C): active ≈ 2–3, passive ≈ 1</w:t>
            </w:r>
          </w:p>
        </w:tc>
      </w:tr>
      <w:tr>
        <w:tc>
          <w:tcPr>
            <w:tcW w:type="dxa" w:w="3200"/>
            <w:tcMar>
              <w:top w:type="dxa" w:w="60"/>
              <w:left w:type="dxa" w:w="90"/>
              <w:bottom w:type="dxa" w:w="60"/>
              <w:right w:type="dxa" w:w="90"/>
            </w:tcMar>
          </w:tcPr>
          <w:p>
            <w:r>
              <w:rPr>
                <w:b w:val="false"/>
                <w:bCs w:val="false"/>
                <w:color w:val="000000"/>
                <w:sz w:val="19"/>
                <w:szCs w:val="19"/>
              </w:rPr>
              <w:t xml:space="preserve">Unresolvable fast delays (Mimosa AP)</w:t>
            </w:r>
          </w:p>
        </w:tc>
        <w:tc>
          <w:tcPr>
            <w:tcW w:type="dxa" w:w="6160"/>
            <w:tcMar>
              <w:top w:type="dxa" w:w="60"/>
              <w:left w:type="dxa" w:w="90"/>
              <w:bottom w:type="dxa" w:w="60"/>
              <w:right w:type="dxa" w:w="90"/>
            </w:tcMar>
          </w:tcPr>
          <w:p>
            <w:r>
              <w:rPr>
                <w:b w:val="false"/>
                <w:bCs w:val="false"/>
                <w:color w:val="000000"/>
                <w:sz w:val="19"/>
                <w:szCs w:val="19"/>
              </w:rPr>
              <w:t xml:space="preserve">Wider electrode spacing so the small AP delay clears the timing floor</w:t>
            </w:r>
          </w:p>
        </w:tc>
      </w:tr>
      <w:tr>
        <w:tc>
          <w:tcPr>
            <w:tcW w:type="dxa" w:w="3200"/>
            <w:tcMar>
              <w:top w:type="dxa" w:w="60"/>
              <w:left w:type="dxa" w:w="90"/>
              <w:bottom w:type="dxa" w:w="60"/>
              <w:right w:type="dxa" w:w="90"/>
            </w:tcMar>
          </w:tcPr>
          <w:p>
            <w:r>
              <w:rPr>
                <w:b w:val="false"/>
                <w:bCs w:val="false"/>
                <w:color w:val="000000"/>
                <w:sz w:val="19"/>
                <w:szCs w:val="19"/>
              </w:rPr>
              <w:t xml:space="preserve">Clean delays for the fast species</w:t>
            </w:r>
          </w:p>
        </w:tc>
        <w:tc>
          <w:tcPr>
            <w:tcW w:type="dxa" w:w="6160"/>
            <w:tcMar>
              <w:top w:type="dxa" w:w="60"/>
              <w:left w:type="dxa" w:w="90"/>
              <w:bottom w:type="dxa" w:w="60"/>
              <w:right w:type="dxa" w:w="90"/>
            </w:tcMar>
          </w:tcPr>
          <w:p>
            <w:r>
              <w:rPr>
                <w:b w:val="false"/>
                <w:bCs w:val="false"/>
                <w:color w:val="000000"/>
                <w:sz w:val="19"/>
                <w:szCs w:val="19"/>
              </w:rPr>
              <w:t xml:space="preserve">Bipolar (differential) recording to cancel the shared-reference common mode</w:t>
            </w:r>
          </w:p>
        </w:tc>
      </w:tr>
    </w:tbl>
    <w:p>
      <w:pPr>
        <w:pStyle w:val="Heading1"/>
        <w:spacing w:after="120" w:before="260"/>
      </w:pPr>
      <w:r>
        <w:t xml:space="preserve">10. Figure selection guidance for the manuscript</w:t>
      </w:r>
    </w:p>
    <w:p>
      <w:pPr>
        <w:spacing w:after="120"/>
        <w:jc w:val="both"/>
      </w:pPr>
      <w:r>
        <w:rPr>
          <w:b/>
          <w:bCs/>
          <w:sz w:val="22"/>
          <w:szCs w:val="22"/>
        </w:rPr>
        <w:t xml:space="preserve">Manuscript candidates (one per step of the argument): </w:t>
      </w:r>
      <w:r>
        <w:rPr>
          <w:sz w:val="22"/>
          <w:szCs w:val="22"/>
        </w:rPr>
        <w:t xml:space="preserve">CV by species (Fig. 1); validation vs the manual analysis (Fig. 2); the two potential types (Fig. 5); the near→far transformation (Fig. 7); the active-vs-passive model comparison (Fig. 10) with the predicted propagation mode (Fig. 16); the biophysical Venus AP model (Fig. 15); and the all-parameter clustering / phylogeny result (Fig. 18).</w:t>
      </w:r>
    </w:p>
    <w:p>
      <w:pPr>
        <w:spacing w:after="120"/>
        <w:jc w:val="both"/>
      </w:pPr>
      <w:r>
        <w:rPr>
          <w:b/>
          <w:bCs/>
          <w:sz w:val="22"/>
          <w:szCs w:val="22"/>
        </w:rPr>
        <w:t xml:space="preserve">Supporting / diagnostic: </w:t>
      </w:r>
      <w:r>
        <w:rPr>
          <w:sz w:val="22"/>
          <w:szCs w:val="22"/>
        </w:rPr>
        <w:t xml:space="preserve">delay validation and estimator bakeoff (Figs. 3–4); shared-reference raw traces (Fig. 6); pooled transformation and attenuation–broadening (Figs. 8–9); example model fits and the amplitude-independent discriminators (Figs. 11–13); the passive-vs-active simulation concept (Fig. 14); and the Venus electrode-asymmetry control (Fig. 17).</w:t>
      </w:r>
    </w:p>
    <w:p>
      <w:pPr>
        <w:spacing w:after="120"/>
        <w:jc w:val="both"/>
      </w:pPr>
      <w:r>
        <w:rPr>
          <w:i/>
          <w:iCs/>
          <w:sz w:val="22"/>
          <w:szCs w:val="22"/>
        </w:rPr>
        <w:t xml:space="preserve">Removed in revision: the amplitude (gain = 1) model fit (uninterpretable — confounded by electrode coupling); a Cannabis-only distance–delay scatter; near-aligned overlays that smeared the far channel; and the gain-vs-dispersion “space”. Superseded by the corrected, optimised comparisons here.</w:t>
      </w:r>
    </w:p>
    <w:p>
      <w:r>
        <w:br w:type="page"/>
      </w:r>
    </w:p>
    <w:p>
      <w:pPr>
        <w:pStyle w:val="Heading1"/>
        <w:spacing w:after="120" w:before="260"/>
      </w:pPr>
      <w:r>
        <w:t xml:space="preserve">11. Key references</w:t>
      </w:r>
    </w:p>
    <w:p>
      <w:pPr>
        <w:pStyle w:val="ListParagraph"/>
        <w:numPr>
          <w:ilvl w:val="0"/>
          <w:numId w:val="3"/>
        </w:numPr>
        <w:spacing w:after="80"/>
      </w:pPr>
      <w:r>
        <w:rPr>
          <w:sz w:val="19"/>
          <w:szCs w:val="19"/>
        </w:rPr>
        <w:t xml:space="preserve">Contreras C, Morales M, Rojas P, Serbe-Kamp E, Marzullo T. Electrical Conduction Velocity Across Species of Rapid Movement and Non-Rapid Movement Plants. Plant Signaling &amp; Behavior (the manual analysis compared here).</w:t>
      </w:r>
    </w:p>
    <w:p>
      <w:pPr>
        <w:pStyle w:val="ListParagraph"/>
        <w:numPr>
          <w:ilvl w:val="0"/>
          <w:numId w:val="3"/>
        </w:numPr>
        <w:spacing w:after="80"/>
      </w:pPr>
      <w:r>
        <w:rPr>
          <w:sz w:val="19"/>
          <w:szCs w:val="19"/>
        </w:rPr>
        <w:t xml:space="preserve">Madariaga D, et al. (2024). A library of electrophysiological responses in plants — open-science model. Plant Signaling &amp; Behavior 19(1):2310977 (the base pipeline).</w:t>
      </w:r>
    </w:p>
    <w:p>
      <w:pPr>
        <w:pStyle w:val="ListParagraph"/>
        <w:numPr>
          <w:ilvl w:val="0"/>
          <w:numId w:val="3"/>
        </w:numPr>
        <w:spacing w:after="80"/>
      </w:pPr>
      <w:r>
        <w:rPr>
          <w:sz w:val="19"/>
          <w:szCs w:val="19"/>
        </w:rPr>
        <w:t xml:space="preserve">Volkov AG, et al. (2010). Signal transduction in Mimosa pudica: biologically closed electrical circuits. Plant, Cell &amp; Environment 33:816–827.</w:t>
      </w:r>
    </w:p>
    <w:p>
      <w:pPr>
        <w:pStyle w:val="ListParagraph"/>
        <w:numPr>
          <w:ilvl w:val="0"/>
          <w:numId w:val="3"/>
        </w:numPr>
        <w:spacing w:after="80"/>
      </w:pPr>
      <w:r>
        <w:rPr>
          <w:sz w:val="19"/>
          <w:szCs w:val="19"/>
        </w:rPr>
        <w:t xml:space="preserve">Fromm J, Lautner S (2007). Electrical signals and their physiological significance in plants. Plant, Cell &amp; Environment 30:249–257.</w:t>
      </w:r>
    </w:p>
    <w:p>
      <w:pPr>
        <w:pStyle w:val="ListParagraph"/>
        <w:numPr>
          <w:ilvl w:val="0"/>
          <w:numId w:val="3"/>
        </w:numPr>
        <w:spacing w:after="80"/>
      </w:pPr>
      <w:r>
        <w:rPr>
          <w:sz w:val="19"/>
          <w:szCs w:val="19"/>
        </w:rPr>
        <w:t xml:space="preserve">Mousavi SAR, et al. (2013). GLUTAMATE RECEPTOR-LIKE genes mediate leaf-to-leaf wound signalling. Nature 500:422–426.</w:t>
      </w:r>
    </w:p>
    <w:p>
      <w:pPr>
        <w:pStyle w:val="ListParagraph"/>
        <w:numPr>
          <w:ilvl w:val="0"/>
          <w:numId w:val="3"/>
        </w:numPr>
        <w:spacing w:after="80"/>
      </w:pPr>
      <w:r>
        <w:rPr>
          <w:sz w:val="19"/>
          <w:szCs w:val="19"/>
        </w:rPr>
        <w:t xml:space="preserve">Toyota M, et al. (2018). Glutamate triggers long-distance, calcium-based plant defense signaling. Science 361:1112–1115.</w:t>
      </w:r>
    </w:p>
    <w:p>
      <w:pPr>
        <w:pStyle w:val="ListParagraph"/>
        <w:numPr>
          <w:ilvl w:val="0"/>
          <w:numId w:val="3"/>
        </w:numPr>
        <w:spacing w:after="80"/>
      </w:pPr>
      <w:r>
        <w:rPr>
          <w:sz w:val="19"/>
          <w:szCs w:val="19"/>
        </w:rPr>
        <w:t xml:space="preserve">Nguyen CT, et al. (2018). Cell populations necessary for leaf-to-leaf electrical signaling. PNAS 115:10178–10183.</w:t>
      </w:r>
    </w:p>
    <w:p>
      <w:pPr>
        <w:pStyle w:val="ListParagraph"/>
        <w:numPr>
          <w:ilvl w:val="0"/>
          <w:numId w:val="3"/>
        </w:numPr>
        <w:spacing w:after="80"/>
      </w:pPr>
      <w:r>
        <w:rPr>
          <w:sz w:val="19"/>
          <w:szCs w:val="19"/>
        </w:rPr>
        <w:t xml:space="preserve">Böhm J, et al. (2016). The Venus flytrap counts prey-induced action potentials to induce sodium uptake. Current Biology 26:286–295.</w:t>
      </w:r>
    </w:p>
    <w:p>
      <w:pPr>
        <w:pStyle w:val="ListParagraph"/>
        <w:numPr>
          <w:ilvl w:val="0"/>
          <w:numId w:val="3"/>
        </w:numPr>
        <w:spacing w:after="80"/>
      </w:pPr>
      <w:r>
        <w:rPr>
          <w:sz w:val="19"/>
          <w:szCs w:val="19"/>
        </w:rPr>
        <w:t xml:space="preserve">Hedrich R, Neher E (2018). Venus flytrap: how an excitable, carnivorous plant works. Trends in Plant Science 23:220–234.</w:t>
      </w:r>
    </w:p>
    <w:p>
      <w:pPr>
        <w:pStyle w:val="ListParagraph"/>
        <w:numPr>
          <w:ilvl w:val="0"/>
          <w:numId w:val="3"/>
        </w:numPr>
        <w:spacing w:after="80"/>
      </w:pPr>
      <w:r>
        <w:rPr>
          <w:sz w:val="19"/>
          <w:szCs w:val="19"/>
        </w:rPr>
        <w:t xml:space="preserve">Evans MJ, et al. (2017). A chemical agent transported by xylem mass flow propagates variation potentials. The Plant Journal 91:1029–1037.</w:t>
      </w:r>
    </w:p>
    <w:p>
      <w:pPr>
        <w:pStyle w:val="ListParagraph"/>
        <w:numPr>
          <w:ilvl w:val="0"/>
          <w:numId w:val="3"/>
        </w:numPr>
        <w:spacing w:after="80"/>
      </w:pPr>
      <w:r>
        <w:rPr>
          <w:sz w:val="19"/>
          <w:szCs w:val="19"/>
        </w:rPr>
        <w:t xml:space="preserve">Sukhov V, Vodeneev V (2009). A mathematical model of action potential in cells of vascular plants. J. Membrane Biology 232:59–67.</w:t>
      </w:r>
    </w:p>
    <w:p>
      <w:pPr>
        <w:pStyle w:val="ListParagraph"/>
        <w:numPr>
          <w:ilvl w:val="0"/>
          <w:numId w:val="3"/>
        </w:numPr>
        <w:spacing w:after="80"/>
      </w:pPr>
      <w:r>
        <w:rPr>
          <w:sz w:val="19"/>
          <w:szCs w:val="19"/>
        </w:rPr>
        <w:t xml:space="preserve">FitzHugh R (1961). Impulses and physiological states in theoretical models of nerve membrane. Biophysical Journal 1:445–466.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d53509893a6366680c48f66bf5f0bf1430ad91.png"/><Relationship Id="rId8" Type="http://schemas.openxmlformats.org/officeDocument/2006/relationships/image" Target="media/30f436e9c1bccf5e41fef7f765ada4dd44e94c1d.png"/><Relationship Id="rId9" Type="http://schemas.openxmlformats.org/officeDocument/2006/relationships/image" Target="media/aec60b8ecdea57cb5ebeb352e1c8271bc0e4f2cf.png"/><Relationship Id="rId10" Type="http://schemas.openxmlformats.org/officeDocument/2006/relationships/image" Target="media/fb8ed738d8c2123a956c181db84e77bef63674b2.png"/><Relationship Id="rId11" Type="http://schemas.openxmlformats.org/officeDocument/2006/relationships/image" Target="media/b275fbce94de05299dd67821530423759d00e9c5.png"/><Relationship Id="rId12" Type="http://schemas.openxmlformats.org/officeDocument/2006/relationships/image" Target="media/06868c0cba80ad8c85b2317c66b9e802a30952dc.png"/><Relationship Id="rId13" Type="http://schemas.openxmlformats.org/officeDocument/2006/relationships/image" Target="media/b164401b1fbd23b500be50db5448aef2efde92aa.png"/><Relationship Id="rId14" Type="http://schemas.openxmlformats.org/officeDocument/2006/relationships/image" Target="media/da4f444cd0d1779faaf3a53a3457f4c6aa2ada00.png"/><Relationship Id="rId15" Type="http://schemas.openxmlformats.org/officeDocument/2006/relationships/image" Target="media/7771d91f8c543ff71f08320f85d7e82600a27e72.png"/><Relationship Id="rId16" Type="http://schemas.openxmlformats.org/officeDocument/2006/relationships/image" Target="media/6ae48044c6a2e8721fdcba24b8ee318086158951.png"/><Relationship Id="rId17" Type="http://schemas.openxmlformats.org/officeDocument/2006/relationships/image" Target="media/6e6c69f4511de1420a8e76dc5f74b4fb354d5868.png"/><Relationship Id="rId18" Type="http://schemas.openxmlformats.org/officeDocument/2006/relationships/image" Target="media/a2783e491ac68141bd68195ddf04adcadcc1e397.png"/><Relationship Id="rId19" Type="http://schemas.openxmlformats.org/officeDocument/2006/relationships/image" Target="media/9f660d6e7d7fb6310f6cb957ac550523b12759ba.png"/><Relationship Id="rId20" Type="http://schemas.openxmlformats.org/officeDocument/2006/relationships/image" Target="media/cd747ec016ff9c9a5ba7e16a7aa7c171fac72ee7.png"/><Relationship Id="rId21" Type="http://schemas.openxmlformats.org/officeDocument/2006/relationships/image" Target="media/d1c3a37fbd8f155c88fb98b5540aec316cf38d2e.png"/><Relationship Id="rId22" Type="http://schemas.openxmlformats.org/officeDocument/2006/relationships/image" Target="media/c2ce3849f244c4d6c23733c0b93bd0a8ae835591.png"/><Relationship Id="rId23" Type="http://schemas.openxmlformats.org/officeDocument/2006/relationships/image" Target="media/1d8aed3ea403e483a27c7d58b8c2ed3da24b31fd.png"/><Relationship Id="rId24" Type="http://schemas.openxmlformats.org/officeDocument/2006/relationships/image" Target="media/0c6d7a628b8370ed429fd11e5e8364a46c73391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2026-07-22T19:57:49.760Z</dcterms:created>
  <dcterms:modified xsi:type="dcterms:W3CDTF">2026-07-22T19:57:49.761Z</dcterms:modified>
</cp:coreProperties>
</file>

<file path=docProps/custom.xml><?xml version="1.0" encoding="utf-8"?>
<Properties xmlns="http://schemas.openxmlformats.org/officeDocument/2006/custom-properties" xmlns:vt="http://schemas.openxmlformats.org/officeDocument/2006/docPropsVTypes"/>
</file>