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3f66"/>
          <w:sz w:val="40"/>
          <w:szCs w:val="40"/>
        </w:rPr>
        <w:t xml:space="preserve">Conduction Velocity and Signal Propagation in Plants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An automatic two-channel analysis pipeline, validated against the manual analysis</w:t>
      </w:r>
    </w:p>
    <w:p>
      <w:pPr>
        <w:spacing w:after="240"/>
        <w:jc w:val="center"/>
      </w:pPr>
      <w:r>
        <w:rPr>
          <w:color w:val="888888"/>
          <w:sz w:val="18"/>
          <w:szCs w:val="18"/>
        </w:rPr>
        <w:t xml:space="preserve">13 species · 176 recordings (166 analysed) · github.com/ETigerschuss/conduction-velocity-plants</w:t>
      </w:r>
    </w:p>
    <w:p>
      <w:pPr>
        <w:pBdr>
          <w:bottom w:val="single" w:color="BBBBBB" w:sz="6"/>
        </w:pBdr>
        <w:spacing w:after="120"/>
      </w:pPr>
    </w:p>
    <w:p>
      <w:pPr>
        <w:pStyle w:val="Heading1"/>
        <w:spacing w:after="120" w:before="260"/>
      </w:pPr>
      <w:r>
        <w:t xml:space="preserve">1. Overview and what to take from this report</w:t>
      </w:r>
    </w:p>
    <w:p>
      <w:pPr>
        <w:spacing w:after="120"/>
        <w:jc w:val="both"/>
      </w:pPr>
      <w:r>
        <w:rPr>
          <w:sz w:val="22"/>
          <w:szCs w:val="22"/>
        </w:rPr>
        <w:t xml:space="preserve">Two recording electrodes sit inline downstream of a wound / touch / flame stimulus; the propagating potential reaches the </w:t>
      </w:r>
      <w:r>
        <w:rPr>
          <w:b/>
          <w:bCs/>
          <w:sz w:val="22"/>
          <w:szCs w:val="22"/>
        </w:rPr>
        <w:t xml:space="preserve">near</w:t>
      </w:r>
      <w:r>
        <w:rPr>
          <w:sz w:val="22"/>
          <w:szCs w:val="22"/>
        </w:rPr>
        <w:t xml:space="preserve"> electrode first and the </w:t>
      </w:r>
      <w:r>
        <w:rPr>
          <w:b/>
          <w:bCs/>
          <w:sz w:val="22"/>
          <w:szCs w:val="22"/>
        </w:rPr>
        <w:t xml:space="preserve">far</w:t>
      </w:r>
      <w:r>
        <w:rPr>
          <w:sz w:val="22"/>
          <w:szCs w:val="22"/>
        </w:rPr>
        <w:t xml:space="preserve"> electrode later. We built an automatic analysis pipeline and asked four questions.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1. Does the automatic pipeline reproduce the manual conduction-velocity result? </w:t>
      </w:r>
      <w:r>
        <w:rPr>
          <w:sz w:val="22"/>
          <w:szCs w:val="22"/>
        </w:rPr>
        <w:t xml:space="preserve">Yes — Pearson r = 0.94 across 13 species (0.99 excluding one species), and the manual per-recording numbers are recoverable exactly (Section 4).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2. How does the signal change from the near to the far electrode? </w:t>
      </w:r>
      <w:r>
        <w:rPr>
          <w:sz w:val="22"/>
          <w:szCs w:val="22"/>
        </w:rPr>
        <w:t xml:space="preserve">It </w:t>
      </w:r>
      <w:r>
        <w:rPr>
          <w:b/>
          <w:bCs/>
          <w:sz w:val="22"/>
          <w:szCs w:val="22"/>
        </w:rPr>
        <w:t xml:space="preserve">attenuates</w:t>
      </w:r>
      <w:r>
        <w:rPr>
          <w:sz w:val="22"/>
          <w:szCs w:val="22"/>
        </w:rPr>
        <w:t xml:space="preserve"> (far ≈ 0.4× the near amplitude) and mildly </w:t>
      </w:r>
      <w:r>
        <w:rPr>
          <w:b/>
          <w:bCs/>
          <w:sz w:val="22"/>
          <w:szCs w:val="22"/>
        </w:rPr>
        <w:t xml:space="preserve">broadens</w:t>
      </w:r>
      <w:r>
        <w:rPr>
          <w:sz w:val="22"/>
          <w:szCs w:val="22"/>
        </w:rPr>
        <w:t xml:space="preserve">, while largely keeping its shape (Section 6).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3. Do these properties track evolutionary relationship? </w:t>
      </w:r>
      <w:r>
        <w:rPr>
          <w:sz w:val="22"/>
          <w:szCs w:val="22"/>
        </w:rPr>
        <w:t xml:space="preserve">No — congeners differ as much as unrelated species (Section 7).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4. Is propagation active or passive? </w:t>
      </w:r>
      <w:r>
        <w:rPr>
          <w:sz w:val="22"/>
          <w:szCs w:val="22"/>
        </w:rPr>
        <w:t xml:space="preserve">This cannot be settled cleanly with two surface electrodes, but the fast, rapid-movement species (Venus flytrap, Sensitive Mimosa) preserve waveform shape best and the slow species disperse most (Section 8). A biophysical AP model reproduces the recorded Venus waveform (Section 9).</w:t>
      </w:r>
    </w:p>
    <w:p>
      <w:pPr>
        <w:spacing w:after="120"/>
        <w:jc w:val="both"/>
      </w:pPr>
      <w:r>
        <w:rPr>
          <w:i/>
          <w:iCs/>
          <w:sz w:val="22"/>
          <w:szCs w:val="22"/>
        </w:rPr>
        <w:t xml:space="preserve">A note on figures. This is a working report; not every figure belongs in the manuscript. Section 12 lists which figures we consider manuscript candidates versus supporting / diagnostic material.</w:t>
      </w:r>
    </w:p>
    <w:p>
      <w:pPr>
        <w:pStyle w:val="Heading1"/>
        <w:spacing w:after="120" w:before="260"/>
      </w:pPr>
      <w:r>
        <w:t xml:space="preserve">2. Methods</w:t>
      </w:r>
    </w:p>
    <w:p>
      <w:pPr>
        <w:spacing w:after="120"/>
        <w:jc w:val="both"/>
      </w:pPr>
      <w:r>
        <w:rPr>
          <w:sz w:val="22"/>
          <w:szCs w:val="22"/>
        </w:rPr>
        <w:t xml:space="preserve">Each channel is baseline-subtracted and low-pass filtered for detection; the earlier-peaking channel is labelled </w:t>
      </w:r>
      <w:r>
        <w:rPr>
          <w:b/>
          <w:bCs/>
          <w:sz w:val="22"/>
          <w:szCs w:val="22"/>
        </w:rPr>
        <w:t xml:space="preserve">near</w:t>
      </w:r>
      <w:r>
        <w:rPr>
          <w:sz w:val="22"/>
          <w:szCs w:val="22"/>
        </w:rPr>
        <w:t xml:space="preserve">. Inter-channel delay is measured by windowed cross-correlation (primary), with a peak-to-peak cross-check and — because the two electrodes share a soil/earth reference — a common-mode-robust 2-tap model (Section 5). </w:t>
      </w:r>
      <w:r>
        <w:rPr>
          <w:b/>
          <w:bCs/>
          <w:sz w:val="22"/>
          <w:szCs w:val="22"/>
        </w:rPr>
        <w:t xml:space="preserve">Peak detection differs by plant class, as in the manual analysis: </w:t>
      </w:r>
      <w:r>
        <w:rPr>
          <w:sz w:val="22"/>
          <w:szCs w:val="22"/>
        </w:rPr>
        <w:t xml:space="preserve">the slow (non-rapid) plants are timed on the dominant deflection, but the rapid-movement plants (Venus flytrap, Sensitive Mimosa) fire a sharp, fast action potential, so they are timed on the </w:t>
      </w:r>
      <w:r>
        <w:rPr>
          <w:i/>
          <w:iCs/>
          <w:sz w:val="22"/>
          <w:szCs w:val="22"/>
        </w:rPr>
        <w:t xml:space="preserve">first prominent peak</w:t>
      </w:r>
      <w:r>
        <w:rPr>
          <w:sz w:val="22"/>
          <w:szCs w:val="22"/>
        </w:rPr>
        <w:t xml:space="preserve"> (≥ 0.5× the maximum) on an AP-preserving 0.15–15 Hz band-pass — the default low-pass over-smooths the AP and mistimes it. CV = inter-electrode distance / delay; distances are cross-referenced from the “Todo Data Resumen” spreadsheet (166/176 recordings). Transformation metrics: amplitude attenuation (far/near peak), temporal broadening (far/near FWHM), waveform similarity. Recordings are quality-gated; 166/176 pass. The pipeline reports three CV columns per recording — </w:t>
      </w:r>
      <w:r>
        <w:rPr>
          <w:i/>
          <w:iCs/>
          <w:sz w:val="22"/>
          <w:szCs w:val="22"/>
        </w:rPr>
        <w:t xml:space="preserve">cv_xcorr</w:t>
      </w:r>
      <w:r>
        <w:rPr>
          <w:sz w:val="22"/>
          <w:szCs w:val="22"/>
        </w:rPr>
        <w:t xml:space="preserve"> (default), </w:t>
      </w:r>
      <w:r>
        <w:rPr>
          <w:i/>
          <w:iCs/>
          <w:sz w:val="22"/>
          <w:szCs w:val="22"/>
        </w:rPr>
        <w:t xml:space="preserve">cv_2tap</w:t>
      </w:r>
      <w:r>
        <w:rPr>
          <w:sz w:val="22"/>
          <w:szCs w:val="22"/>
        </w:rPr>
        <w:t xml:space="preserve"> (common-mode-robust), and </w:t>
      </w:r>
      <w:r>
        <w:rPr>
          <w:i/>
          <w:iCs/>
          <w:sz w:val="22"/>
          <w:szCs w:val="22"/>
        </w:rPr>
        <w:t xml:space="preserve">cv_manual</w:t>
      </w:r>
      <w:r>
        <w:rPr>
          <w:sz w:val="22"/>
          <w:szCs w:val="22"/>
        </w:rPr>
        <w:t xml:space="preserve"> (distance ÷ the experimenters’ manual delay).</w:t>
      </w:r>
    </w:p>
    <w:p>
      <w:pPr>
        <w:pStyle w:val="Heading1"/>
        <w:spacing w:after="120" w:before="260"/>
      </w:pPr>
      <w:r>
        <w:t xml:space="preserve">3. Conduction velocity</w:t>
      </w:r>
    </w:p>
    <w:p>
      <w:pPr>
        <w:spacing w:after="120"/>
        <w:jc w:val="both"/>
      </w:pPr>
      <w:r>
        <w:rPr>
          <w:sz w:val="22"/>
          <w:szCs w:val="22"/>
        </w:rPr>
        <w:t xml:space="preserve">Median CV ranges from ~2 mm/s (Argentian Dollar) to ~33 mm/s (Venus flytrap). The estimate is internally consistent: the delay scales with electrode distance (ρ = 0.36, p = 3×10⁻⁶) and CV is independent of the spacing used (ρ ≈ 0), as a true velocity must be.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1. Conduction velocity by species (resolved-delay recordings). Box = IQR, red = median, dots = recordings.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4. Validation against the manual analysis (Contreras et al.)</w:t>
      </w:r>
    </w:p>
    <w:p>
      <w:pPr>
        <w:spacing w:after="120"/>
        <w:jc w:val="both"/>
      </w:pPr>
      <w:r>
        <w:rPr>
          <w:sz w:val="22"/>
          <w:szCs w:val="22"/>
        </w:rPr>
        <w:t xml:space="preserve">Validated against </w:t>
      </w:r>
      <w:r>
        <w:rPr>
          <w:i/>
          <w:iCs/>
          <w:sz w:val="22"/>
          <w:szCs w:val="22"/>
        </w:rPr>
        <w:t xml:space="preserve">Electrical Conduction Velocity Across Species of Rapid Movement and Non-Rapid Movement Plants</w:t>
      </w:r>
      <w:r>
        <w:rPr>
          <w:sz w:val="22"/>
          <w:szCs w:val="22"/>
        </w:rPr>
        <w:t xml:space="preserve"> (Contreras, Morales, Rojas, Serbe-Kamp, Marzullo; Plant Signaling &amp; Behavior), Table 1. Both analyses use the same recordings.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Strong agreement: Pearson r = 0.94 across 13 species (0.99 excluding Sensitive Mimosa). </w:t>
      </w:r>
      <w:r>
        <w:rPr>
          <w:sz w:val="22"/>
          <w:szCs w:val="22"/>
        </w:rPr>
        <w:t xml:space="preserve">The non-rapid group mean matches almost exactly (automatic 8.0 ± 6.3 vs manual 7.7 ± 6.5 mm/s), and Venus flytrap agrees (32.9 vs 35.3). Using the experimenters’ own delays, the </w:t>
      </w:r>
      <w:r>
        <w:rPr>
          <w:i/>
          <w:iCs/>
          <w:sz w:val="22"/>
          <w:szCs w:val="22"/>
        </w:rPr>
        <w:t xml:space="preserve">cv_manual</w:t>
      </w:r>
      <w:r>
        <w:rPr>
          <w:sz w:val="22"/>
          <w:szCs w:val="22"/>
        </w:rPr>
        <w:t xml:space="preserve"> column reproduces the manuscript exactly (Mimosa 30.6, Venus 35.7 mm/s).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2. Automatic CV vs the manual CV, per species (mean ± SD). Points on the dashed identity line agree; only Sensitive Mimosa sits clearly below (see text).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527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3. The underlying agreement: our measured inter-channel delay vs the experimenters’ manual delay (Tiempo), recording by recording, on the identity line.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The rapid-plant peak-detection fix. </w:t>
      </w:r>
      <w:r>
        <w:rPr>
          <w:sz w:val="22"/>
          <w:szCs w:val="22"/>
        </w:rPr>
        <w:t xml:space="preserve">The rapid-movement plants needed a different peak detector (Methods): switching to first-prominent-peak detection on an AP-preserving filter recovers the sharp AP and reproduces the manual delay for the majority of these recordings, and it raised Venus flytrap from 29.7 to 32.9 mm/s (vs manual 35.3). For non-rapid plants the default cross-correlation already matches the manual delays best (a fast-onset estimator and three variants were tested and were less accurate — median error 0.20 s vs 1.80 s; see the bakeoff figure).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The remaining Sensitive Mimosa gap (automatic 19.9 vs manual 32.4) is a measurement-floor limit, not a code error. </w:t>
      </w:r>
      <w:r>
        <w:rPr>
          <w:sz w:val="22"/>
          <w:szCs w:val="22"/>
        </w:rPr>
        <w:t xml:space="preserve">On the slow Mimosa recordings the two delays match. The gap is a handful of fast recordings (July batch) whose inter-electrode delay is </w:t>
      </w:r>
      <w:r>
        <w:rPr>
          <w:b/>
          <w:bCs/>
          <w:sz w:val="22"/>
          <w:szCs w:val="22"/>
        </w:rPr>
        <w:t xml:space="preserve">unresolvable</w:t>
      </w:r>
      <w:r>
        <w:rPr>
          <w:sz w:val="22"/>
          <w:szCs w:val="22"/>
        </w:rPr>
        <w:t xml:space="preserve">: isolating the sharp AP (high-pass) and cross-correlating gives ≈ 0 s — the AP reaches both closely-spaced electrodes essentially simultaneously — while the same test recovers the delay on the slower recordings (e.g. 1.07 vs manual 1.04 s). The manual 0.2–0.34 s values on those recordings sit at the timing floor, which is exactly why Mimosa’s manual SD (21.6) nearly equals its mean (32.4). Both analyses agree Mimosa is a fast, rapid-movement outlier; the exact value is intrinsically uncertain. To reproduce the manuscript number, use </w:t>
      </w:r>
      <w:r>
        <w:rPr>
          <w:i/>
          <w:iCs/>
          <w:sz w:val="22"/>
          <w:szCs w:val="22"/>
        </w:rPr>
        <w:t xml:space="preserve">cv_manual</w:t>
      </w:r>
      <w:r>
        <w:rPr>
          <w:sz w:val="22"/>
          <w:szCs w:val="22"/>
        </w:rPr>
        <w:t xml:space="preserve">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4. Delay-estimator bakeoff against the manual per-recording delays for the non-rapid plants (lower = better). The default cross-correlation wins for every species; the fast-onset variants were rejected on this evidence. (Rapid plants use first-prominent detection instead — Methods.)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Metadata corrected from the paper: </w:t>
      </w:r>
      <w:r>
        <w:rPr>
          <w:sz w:val="22"/>
          <w:szCs w:val="22"/>
        </w:rPr>
        <w:t xml:space="preserve">Hierbabuena = Clinopodium douglasii (not Mentha); Chilean Chile = Capsicum baccatum; Argentian Dollar = Plectranthus purpuratus. Amplifier passband ~0.2–130 Hz (a custom rig), not the 0.07–8.8 Hz stock SpikerBox.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5. Channel integrity: the shared reference and how the delay is recovered</w:t>
      </w:r>
    </w:p>
    <w:p>
      <w:pPr>
        <w:spacing w:after="120"/>
        <w:jc w:val="both"/>
      </w:pPr>
      <w:r>
        <w:rPr>
          <w:sz w:val="22"/>
          <w:szCs w:val="22"/>
        </w:rPr>
        <w:t xml:space="preserve">The two channels are </w:t>
      </w:r>
      <w:r>
        <w:rPr>
          <w:b/>
          <w:bCs/>
          <w:sz w:val="22"/>
          <w:szCs w:val="22"/>
        </w:rPr>
        <w:t xml:space="preserve">correlated, and that is expected</w:t>
      </w:r>
      <w:r>
        <w:rPr>
          <w:sz w:val="22"/>
          <w:szCs w:val="22"/>
        </w:rPr>
        <w:t xml:space="preserve">: both electrodes share a soil/earth reference, so any whole-plant potential or reference fluctuation appears in both (baseline correlation pooled r ≈ 0.66). This is a normal referential montage, not amplifier crosstalk — and it does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prevent measuring the delay. A common-mode-robust 2-tap model, far(t) = a·near(t) + b·near(t−τ), separates the shared/instantaneous part (a) from the propagated part (b) at lag τ; across species the delayed fraction is 0.68–0.90 and τ is sign-consistent (75–100%). This is why Venus flytrap’s fast CV is genuine — a small electrode spacing gives a small </w:t>
      </w:r>
      <w:r>
        <w:rPr>
          <w:i/>
          <w:iCs/>
          <w:sz w:val="22"/>
          <w:szCs w:val="22"/>
        </w:rPr>
        <w:t xml:space="preserve">but real</w:t>
      </w:r>
      <w:r>
        <w:rPr>
          <w:sz w:val="22"/>
          <w:szCs w:val="22"/>
        </w:rPr>
        <w:t xml:space="preserve"> delay plus strong volume-conduction correlation.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5. Both channels, full trace and pre-stimulus baseline zoom. Mimosa: baseline r = 0.96 (shared slow wave via the common ground). Cannabis: r = 0.20 (weakly coupled, clean delay). Venus: a sharp spike in both channels close together — a small real delay plus volume conduction.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6. How the signal changes from near to far</w:t>
      </w:r>
    </w:p>
    <w:p>
      <w:pPr>
        <w:spacing w:after="120"/>
        <w:jc w:val="both"/>
      </w:pPr>
      <w:r>
        <w:rPr>
          <w:sz w:val="22"/>
          <w:szCs w:val="22"/>
        </w:rPr>
        <w:t xml:space="preserve">From the near to the far electrode the potential </w:t>
      </w:r>
      <w:r>
        <w:rPr>
          <w:b/>
          <w:bCs/>
          <w:sz w:val="22"/>
          <w:szCs w:val="22"/>
        </w:rPr>
        <w:t xml:space="preserve">attenuates</w:t>
      </w:r>
      <w:r>
        <w:rPr>
          <w:sz w:val="22"/>
          <w:szCs w:val="22"/>
        </w:rPr>
        <w:t xml:space="preserve"> (far/near amplitude median ≈ 0.44), </w:t>
      </w:r>
      <w:r>
        <w:rPr>
          <w:b/>
          <w:bCs/>
          <w:sz w:val="22"/>
          <w:szCs w:val="22"/>
        </w:rPr>
        <w:t xml:space="preserve">broadens</w:t>
      </w:r>
      <w:r>
        <w:rPr>
          <w:sz w:val="22"/>
          <w:szCs w:val="22"/>
        </w:rPr>
        <w:t xml:space="preserve"> (FWHM ratio ≈ 1.31), yet largely </w:t>
      </w:r>
      <w:r>
        <w:rPr>
          <w:b/>
          <w:bCs/>
          <w:sz w:val="22"/>
          <w:szCs w:val="22"/>
        </w:rPr>
        <w:t xml:space="preserve">preserves its shape</w:t>
      </w:r>
      <w:r>
        <w:rPr>
          <w:sz w:val="22"/>
          <w:szCs w:val="22"/>
        </w:rPr>
        <w:t xml:space="preserve"> (waveform correlation ≈ 0.80). Within-species spread is large — it exceeds the between-species differences.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6. Near vs far response per species, each self-aligned on its own peak (arbitrary gap), BOTH normalised to the near peak so the far amplitude drop is visible. Thick = median, band = IQR. The far/near amplitude ratio is printed per panel (e.g. Argentian Dollar 0.15, Ornamental Chile 0.19; Tomato and the chiles preserve amplitude best).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7. The same three metrics pooled across all recordings: amplitude ratio (median 0.44), width ratio (1.31), and waveform similarity (0.80).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8. Attenuation vs broadening co-vary: signals that lose amplitude also disperse (passive low-pass filtering); those that keep amplitude keep their shape.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7. Do these properties track evolutionary relationship?</w:t>
      </w:r>
    </w:p>
    <w:p>
      <w:pPr>
        <w:spacing w:after="120"/>
        <w:jc w:val="both"/>
      </w:pPr>
      <w:r>
        <w:rPr>
          <w:sz w:val="22"/>
          <w:szCs w:val="22"/>
        </w:rPr>
        <w:t xml:space="preserve">No. A Mantel test between functional distance (the three transformation metrics) and taxonomic distance gives r = −0.02, p = 0.50; Kruskal–Wallis by family is non-significant (p &gt; 0.29). Congeners diverge as much as unrelated species — the two </w:t>
      </w:r>
      <w:r>
        <w:rPr>
          <w:b/>
          <w:bCs/>
          <w:sz w:val="22"/>
          <w:szCs w:val="22"/>
        </w:rPr>
        <w:t xml:space="preserve">Capsicum</w:t>
      </w:r>
      <w:r>
        <w:rPr>
          <w:sz w:val="22"/>
          <w:szCs w:val="22"/>
        </w:rPr>
        <w:t xml:space="preserve"> chiles are among the most different pairs. The transformation reflects the biophysics of each conduction event, not species identity.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9. Species clustered by their near→far transformation profile; leaf colour = taxonomic family. Families are scattered, not clustered — no phylogenetic signal.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8. Active or passive propagation? (what the data can and cannot say)</w:t>
      </w:r>
    </w:p>
    <w:p>
      <w:pPr>
        <w:spacing w:after="120"/>
        <w:jc w:val="both"/>
      </w:pPr>
      <w:r>
        <w:rPr>
          <w:sz w:val="22"/>
          <w:szCs w:val="22"/>
        </w:rPr>
        <w:t xml:space="preserve">Plant signals span a spectrum from self-regenerating action potentials (AP; all-or-none, non-decremental, shape-preserving) to decremental variation potentials (VP; graded, dispersive, carried by a xylem hydraulic/chemical wave). </w:t>
      </w:r>
      <w:r>
        <w:rPr>
          <w:b/>
          <w:bCs/>
          <w:sz w:val="22"/>
          <w:szCs w:val="22"/>
        </w:rPr>
        <w:t xml:space="preserve">Two surface electrodes cannot settle this cleanly</w:t>
      </w:r>
      <w:r>
        <w:rPr>
          <w:sz w:val="22"/>
          <w:szCs w:val="22"/>
        </w:rPr>
        <w:t xml:space="preserve">, and two tempting metrics are confounded: (i) amplitude/gain reflects </w:t>
      </w:r>
      <w:r>
        <w:rPr>
          <w:i/>
          <w:iCs/>
          <w:sz w:val="22"/>
          <w:szCs w:val="22"/>
        </w:rPr>
        <w:t xml:space="preserve">electrode coupling</w:t>
      </w:r>
      <w:r>
        <w:rPr>
          <w:sz w:val="22"/>
          <w:szCs w:val="22"/>
        </w:rPr>
        <w:t xml:space="preserve"> as much as decrement — Venus’s far/near ratio is scattered 0.12–7.33 because of its asymmetric hook/stake montage (below); and (ii) a flexible delayed-copy model will always out-fit a cable model because it has an extra free parameter. We therefore rely on </w:t>
      </w:r>
      <w:r>
        <w:rPr>
          <w:b/>
          <w:bCs/>
          <w:sz w:val="22"/>
          <w:szCs w:val="22"/>
        </w:rPr>
        <w:t xml:space="preserve">amplitude-independent, shape-based</w:t>
      </w:r>
      <w:r>
        <w:rPr>
          <w:sz w:val="22"/>
          <w:szCs w:val="22"/>
        </w:rPr>
        <w:t xml:space="preserve"> signals.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On those robust signals, a consistent spectrum emerges. </w:t>
      </w:r>
      <w:r>
        <w:rPr>
          <w:sz w:val="22"/>
          <w:szCs w:val="22"/>
        </w:rPr>
        <w:t xml:space="preserve">The peak−onset asymmetry (does the peak lag the onset, i.e. dispersion?) is ≈0 for Venus flytrap and Sensitive Mimosa and large for the mints; the propagation delay scales linearly with distance (exponent ≈ 0.99, i.e. constant velocity, not diffusive). Together these place the fast rapid-movement species at the shape-preserving (AP-like) end and the mints at the dispersive (VP-like) end — a spectrum of waveform fidelity that crosses family lines. This is consistent with, but not proof of, active vs passive conduction; the definitive tests need new experiments (Section 11).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10. Peak−onset delay asymmetry (amplitude-independent): ≈0 = rigid translation / shape-preserving (Venus, Mimosa), large positive = dispersion (mints).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11. Delay vs distance across recordings: linear through ~origin (exponent ≈ 0.99) indicates constant-velocity (ballistic) propagation, not diffusion (which would give exponent 2).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A direct, optimised model comparison. </w:t>
      </w:r>
      <w:r>
        <w:rPr>
          <w:sz w:val="22"/>
          <w:szCs w:val="22"/>
        </w:rPr>
        <w:t xml:space="preserve">For every recording we fit the far trace from the near trace with an </w:t>
      </w:r>
      <w:r>
        <w:rPr>
          <w:b/>
          <w:bCs/>
          <w:sz w:val="22"/>
          <w:szCs w:val="22"/>
        </w:rPr>
        <w:t xml:space="preserve">active</w:t>
      </w:r>
      <w:r>
        <w:rPr>
          <w:sz w:val="22"/>
          <w:szCs w:val="22"/>
        </w:rPr>
        <w:t xml:space="preserve"> model (delayed copy, far ≈ g·near(t−τ)) and a </w:t>
      </w:r>
      <w:r>
        <w:rPr>
          <w:b/>
          <w:bCs/>
          <w:sz w:val="22"/>
          <w:szCs w:val="22"/>
        </w:rPr>
        <w:t xml:space="preserve">passive</w:t>
      </w:r>
      <w:r>
        <w:rPr>
          <w:sz w:val="22"/>
          <w:szCs w:val="22"/>
        </w:rPr>
        <w:t xml:space="preserve"> model (delayed + dispersed, far ≈ g·[Gaussian(σ)*near](t−τ)), each optimised to its best parameters, under two conventions: a </w:t>
      </w:r>
      <w:r>
        <w:rPr>
          <w:i/>
          <w:iCs/>
          <w:sz w:val="22"/>
          <w:szCs w:val="22"/>
        </w:rPr>
        <w:t xml:space="preserve">waveform fit</w:t>
      </w:r>
      <w:r>
        <w:rPr>
          <w:sz w:val="22"/>
          <w:szCs w:val="22"/>
        </w:rPr>
        <w:t xml:space="preserve"> (gain free — shape only) and an </w:t>
      </w:r>
      <w:r>
        <w:rPr>
          <w:i/>
          <w:iCs/>
          <w:sz w:val="22"/>
          <w:szCs w:val="22"/>
        </w:rPr>
        <w:t xml:space="preserve">amplitude fit</w:t>
      </w:r>
      <w:r>
        <w:rPr>
          <w:sz w:val="22"/>
          <w:szCs w:val="22"/>
        </w:rPr>
        <w:t xml:space="preserve"> (gain fixed = 1 — the model must also reproduce the measured far amplitude). Two care points fixed here: the near/far label is taken on an AP-preserving 15 Hz filter (the 2 Hz detection filter mis-orders the sharp Venus AP), and both models are optimised over a fine grid. The passive model contains the active model at σ = 0, so passive ≥ active by construction — the </w:t>
      </w:r>
      <w:r>
        <w:rPr>
          <w:b/>
          <w:bCs/>
          <w:sz w:val="22"/>
          <w:szCs w:val="22"/>
        </w:rPr>
        <w:t xml:space="preserve">gap</w:t>
      </w:r>
      <w:r>
        <w:rPr>
          <w:sz w:val="22"/>
          <w:szCs w:val="22"/>
        </w:rPr>
        <w:t xml:space="preserve"> is how much dispersion is needed. On the waveform fit, Venus flytrap and Sensitive Mimosa have the highest R² and the smallest gap (shape-preserving, active-like), the mints the largest (dispersive). The amplitude fit collapses for the active model — a non-decremental (g = 1) model cannot reproduce the far amplitude — but that amplitude drop is confounded by electrode coupling, so amplitude is not a reliable discriminator (which is why we trust the waveform fit).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12. Active vs passive fit per species (each recording a dot, bar = median). Top: waveform (shape) fit — the trustworthy comparison; the active↔passive gap is smallest for the fast rapid-movement species. Bottom: amplitude fit (gain = 1) — the active model collapses because the amplitude is not preserved (confounded by electrode coupling).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675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13. Example fits (near/far corrected): near (grey), real far (red), best active (blue dashed) and passive (green dotted) predictions. Venus/Mimosa are well fit by a near-pure delay; the slower species need dispersion.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Two potential types, and the model fit follows the type. </w:t>
      </w:r>
      <w:r>
        <w:rPr>
          <w:sz w:val="22"/>
          <w:szCs w:val="22"/>
        </w:rPr>
        <w:t xml:space="preserve">Mimosa pudica and other plants fire </w:t>
      </w:r>
      <w:r>
        <w:rPr>
          <w:b/>
          <w:bCs/>
          <w:sz w:val="22"/>
          <w:szCs w:val="22"/>
        </w:rPr>
        <w:t xml:space="preserve">two</w:t>
      </w:r>
      <w:r>
        <w:rPr>
          <w:sz w:val="22"/>
          <w:szCs w:val="22"/>
        </w:rPr>
        <w:t xml:space="preserve"> kinds of electrical signal: a fast, often biphasic </w:t>
      </w:r>
      <w:r>
        <w:rPr>
          <w:b/>
          <w:bCs/>
          <w:sz w:val="22"/>
          <w:szCs w:val="22"/>
        </w:rPr>
        <w:t xml:space="preserve">action potential</w:t>
      </w:r>
      <w:r>
        <w:rPr>
          <w:sz w:val="22"/>
          <w:szCs w:val="22"/>
        </w:rPr>
        <w:t xml:space="preserve"> (non-damaging stimuli; ~1 s; ~2–3 cm/s) and a slow, long-lasting </w:t>
      </w:r>
      <w:r>
        <w:rPr>
          <w:b/>
          <w:bCs/>
          <w:sz w:val="22"/>
          <w:szCs w:val="22"/>
        </w:rPr>
        <w:t xml:space="preserve">variation potential</w:t>
      </w:r>
      <w:r>
        <w:rPr>
          <w:sz w:val="22"/>
          <w:szCs w:val="22"/>
        </w:rPr>
        <w:t xml:space="preserve"> (wounding; tens–hundreds of seconds; decremental) — Volkov 2010; Fromm &amp; Lautner 2007. Classifying each recording by the duration of its dominant deflection gives a clearly bimodal distribution — 120 AP-like (&lt; 2 s) and 56 VP-like (&gt; 2 s) — and the two types fit the models differently: VP-like recordings need about </w:t>
      </w:r>
      <w:r>
        <w:rPr>
          <w:b/>
          <w:bCs/>
          <w:sz w:val="22"/>
          <w:szCs w:val="22"/>
        </w:rPr>
        <w:t xml:space="preserve">twice</w:t>
      </w:r>
      <w:r>
        <w:rPr>
          <w:sz w:val="22"/>
          <w:szCs w:val="22"/>
        </w:rPr>
        <w:t xml:space="preserve"> the passive dispersion σ of AP-like ones (0.45 vs 0.25 s, p ≈ 0.05) and conduct slightly slower, i.e. VP-like are more passive/decremental and AP-like more shape-preserving/active. Sensitive Mimosa itself splits 14 AP-like / 4 VP-like, so its wide CV spread partly reflects a mixture of the two signal types; the fast AP recordings are what set the rapid-plant velocity.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14. Each recording classified as a fast action potential (AP-like, &lt; 2 s) or slow variation potential (VP-like, &gt; 2 s). Left: the bimodal duration distribution. Middle: VP-like need more passive dispersion (more decremental). Right: AP-like conduct faster.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Why Venus flytrap’s amplitude looks decremental but is not diagnostic. </w:t>
      </w:r>
      <w:r>
        <w:rPr>
          <w:sz w:val="22"/>
          <w:szCs w:val="22"/>
        </w:rPr>
        <w:t xml:space="preserve">Its far/near amplitude ratio is scattered and &gt;1 in 31% of recordings — unlike the consistent &lt;1 decrement of the symmetric-electrode plants — because Venus used an asymmetric montage (hook around the trap neck + stake alongside the lobe). The amplitude ratio therefore reflects electrode coupling, not decrement; on the shape axis Venus is firmly shape-preserving.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15. Amplitude ratio (far/near, log scale) per species. Venus is scattered and often &gt;1 (asymmetric electrodes), unlike the consistent &lt;1 decrement of symmetric-electrode plants.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9. Simulating propagation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Passive cable vs active wave. </w:t>
      </w:r>
      <w:r>
        <w:rPr>
          <w:sz w:val="22"/>
          <w:szCs w:val="22"/>
        </w:rPr>
        <w:t xml:space="preserve">A passive cable (Green’s function of τ ∂V/∂t = λ² V_xx − V) makes the far signal a delayed, decayed and dispersed copy of the near one; a FitzHugh–Nagumo active cable launches a travelling pulse of constant amplitude and velocity. The amplitude-vs-distance panel is the single cleanest conceptual discriminator.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16. Passive cable (decays and broadens with distance) vs FitzHugh–Nagumo active wave (constant amplitude and velocity).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A biophysical Venus-flytrap AP model. </w:t>
      </w:r>
      <w:r>
        <w:rPr>
          <w:sz w:val="22"/>
          <w:szCs w:val="22"/>
        </w:rPr>
        <w:t xml:space="preserve">A Hodgkin-Huxley-type plant AP (cvplants.simulate.plant_ap_hh) uses the established plant ionic mechanism: a stimulus admits Ca²⁺; Ca²⁺ gates a depolarising anion (Cl⁻) efflux; the depolarisation opens voltage-gated Ca²⁺ (positive feedback → an all-or-none spike); voltage-gated K⁺ and Ca²⁺ removal repolarise. Plants use Cl⁻/K⁺,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Na⁺, and the AP lasts ~1–2 s. Passed through the recording band-pass, the model AP reproduces the biphasic waveform recorded from Venus flytrap (right panel), and it fires all-or-none. Parameters are illustrative (Hedrich &amp; Neher 2018 / Sukhov-Vodeneev framework), not fitted conductances — surface, band-passed recordings cannot constrain those.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17. HH-type plant AP model (Ca²⁺→Cl⁻→K⁺). Left: membrane potential and Ca²⁺. Middle: all-or-none (fixed-size spike only above threshold). Right: the model AP, band-passed like the recordings, matches a real Venus AP.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10. Ion channels and molecular basis (context)</w:t>
      </w:r>
    </w:p>
    <w:p>
      <w:pPr>
        <w:spacing w:after="120"/>
        <w:jc w:val="both"/>
      </w:pPr>
      <w:r>
        <w:rPr>
          <w:sz w:val="22"/>
          <w:szCs w:val="22"/>
        </w:rPr>
        <w:t xml:space="preserve">Plant excitation is Ca²⁺/Cl⁻/K⁺-based,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Na⁺-based as in animal axons (Fromm &amp; Lautner 2007; Sukhov &amp; Vodeneev 2009).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Depolarisation — Ca²⁺ influx via GLUTAMATE-RECEPTOR-LIKE channels (clade-3 GLR3.3 / GLR3.6) (Mousavi et al. 2013; Toyota et al. 2018; Nguyen et al. 2018).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Sustained depolarisation — anion (Cl⁻) efflux via SLAC1/SLAH3 and QUAC1/ALMT12 (established in guard cells).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Repolarisation — K⁺ efflux via the outward rectifier GORK (Salvador-Recatalà 2018); resting potential set by the P-type H⁺-ATPase (AHA).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Variation potential — transient H⁺-ATPase inactivation behind a xylem “Ricca factor” wave (Vodeneev/Sukhov; Evans et al. 2017).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Venus flytrap — trigger-hair mechanosensing → all-or-none Ca²⁺ AP; AP “counting” gates jasmonate signalling (Böhm et al. 2016; Hedrich &amp; Neher 2018). Mimosa pudica — touch → Ca²⁺ → Cl⁻/K⁺ + water efflux collapses pulvinar turgor (Allen 1969).</w:t>
      </w:r>
    </w:p>
    <w:p>
      <w:pPr>
        <w:pStyle w:val="Heading1"/>
        <w:spacing w:after="120" w:before="260"/>
      </w:pPr>
      <w:r>
        <w:t xml:space="preserve">11. What this dataset cannot decide — and the minimal new experiment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3f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Open question</w:t>
            </w:r>
          </w:p>
        </w:tc>
        <w:tc>
          <w:tcPr>
            <w:tcW w:type="dxa" w:w="6160"/>
            <w:shd w:fill="1f3f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Minimal new experiment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 all-or-none threshold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Stimulus-intensity ladder at one site: step response (active) vs graded (passive)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Refractory period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Paired-pulse Δt = 0.5–20 min: is the second response abolished/reduced?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Regenerative ion mechanism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Pharmacology (La³⁺/Gd³⁺, A-9-C/DIDS, TEA) between wound and electrodes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Channel-gated vs physical conduction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Q10 series (15/25/35 °C): active ≈ 2–3, passive ≈ 1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Hydraulic vs electrical primacy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Co-record xylem pressure / stem strain with the electrodes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 delays for fast species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Bipolar (differential) recording to cancel the shared-reference common mode</w:t>
            </w:r>
          </w:p>
        </w:tc>
      </w:tr>
    </w:tbl>
    <w:p>
      <w:pPr>
        <w:pStyle w:val="Heading1"/>
        <w:spacing w:after="120" w:before="260"/>
      </w:pPr>
      <w:r>
        <w:t xml:space="preserve">12. Figure selection guidance for the manuscript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Manuscript candidates (the core story): </w:t>
      </w:r>
      <w:r>
        <w:rPr>
          <w:sz w:val="22"/>
          <w:szCs w:val="22"/>
        </w:rPr>
        <w:t xml:space="preserve">conduction velocity by species (Fig. 1); validation vs the manual analysis (Fig. 2); the near→far transformation, self-aligned and normalised to show the amplitude drop (Fig. 6); no phylogenetic signal (Fig. 9); the optimised active-vs-passive model comparison (Fig. 12); the two-potential-type classification (Fig. 14); the passive-vs-active simulation concept (Fig. 16); and the biophysical Venus AP model (Fig. 17).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Supporting / diagnostic (methods, reviewer questions, or the repository): </w:t>
      </w:r>
      <w:r>
        <w:rPr>
          <w:sz w:val="22"/>
          <w:szCs w:val="22"/>
        </w:rPr>
        <w:t xml:space="preserve">the per-recording delay validation and the estimator bakeoff (Figs. 3–4, explaining the Mimosa case); the shared-reference raw traces (Fig. 5); the pooled transformation metrics and attenuation–broadening co-variation (Figs. 7–8); the amplitude-independent active/passive discriminators (Figs. 10–11), the example model fits (Fig. 13), and the Venus electrode-asymmetry control (Fig. 15).</w:t>
      </w:r>
    </w:p>
    <w:p>
      <w:pPr>
        <w:spacing w:after="120"/>
        <w:jc w:val="both"/>
      </w:pPr>
      <w:r>
        <w:rPr>
          <w:i/>
          <w:iCs/>
          <w:sz w:val="22"/>
          <w:szCs w:val="22"/>
        </w:rPr>
        <w:t xml:space="preserve">Deliberately removed from an earlier draft: a Cannabis-only distance–delay scatter (unclear); a near-aligned overlay that smeared the far channel (superseded by Fig. 6); and an earlier, unfair model-fit figure — a gain-vs-dispersion “space” and a naïve R² comparison where the active model had an unfair extra parameter and the near/far label was mis-ordered for the fast species. These are replaced by the optimised, corrected comparison in Figs. 12–13 (waveform vs amplitude fit, near/far taken on an AP-preserving filter).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13. Key 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Contreras C, Morales M, Rojas P, Serbe-Kamp E, Marzullo T. Electrical Conduction Velocity Across Species of Rapid Movement and Non-Rapid Movement Plants. Plant Signaling &amp; Behavior (the manual analysis compared here).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Fromm J, Lautner S (2007). Electrical signals and their physiological significance in plants. Plant, Cell &amp; Environment 30:249–257.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Mousavi SAR, et al. (2013). GLUTAMATE RECEPTOR-LIKE genes mediate leaf-to-leaf wound signalling. Nature 500:422–426.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Toyota M, et al. (2018). Glutamate triggers long-distance, calcium-based plant defense signaling. Science 361:1112–1115.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Nguyen CT, et al. (2018). Identification of cell populations necessary for leaf-to-leaf electrical signaling. PNAS 115:10178–10183.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Salvador-Recatalà V (2018). The AKT2/GORK potassium channels shape the plant action potential. Int. J. Mol. Sci. 19:926.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Böhm J, et al. (2016). The Venus flytrap counts prey-induced action potentials to induce sodium uptake. Current Biology 26:286–295.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Hedrich R, Neher E (2018). Venus flytrap: how an excitable, carnivorous plant works. Trends in Plant Science 23:220–234.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Allen RD (1969). Mechanism of the seismonastic reaction in Mimosa pudica. Plant Physiology 44:1101–1107.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Vodeneev V, Akinchits E, Sukhov V (2015). Variation potential in higher plants. Plant Signaling &amp; Behavior 10:e1057365.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Evans MJ, et al. (2017). A chemical agent transported by xylem mass flow propagates variation potentials. The Plant Journal 91:1029–1037.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Sukhov V, Vodeneev V (2009). A mathematical model of action potential in cells of vascular plants. J. Membrane Biology 232:59–67.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Sukhov V, et al. (2011). Simulation of action potential propagation in plants. J. Theoretical Biology 291:47–55.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FitzHugh R (1961). Impulses and physiological states in theoretical models of nerve membrane. Biophysical Journal 1:445–466.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d53509893a6366680c48f66bf5f0bf1430ad91.png"/><Relationship Id="rId8" Type="http://schemas.openxmlformats.org/officeDocument/2006/relationships/image" Target="media/30f436e9c1bccf5e41fef7f765ada4dd44e94c1d.png"/><Relationship Id="rId9" Type="http://schemas.openxmlformats.org/officeDocument/2006/relationships/image" Target="media/aec60b8ecdea57cb5ebeb352e1c8271bc0e4f2cf.png"/><Relationship Id="rId10" Type="http://schemas.openxmlformats.org/officeDocument/2006/relationships/image" Target="media/fb8ed738d8c2123a956c181db84e77bef63674b2.png"/><Relationship Id="rId11" Type="http://schemas.openxmlformats.org/officeDocument/2006/relationships/image" Target="media/06868c0cba80ad8c85b2317c66b9e802a30952dc.png"/><Relationship Id="rId12" Type="http://schemas.openxmlformats.org/officeDocument/2006/relationships/image" Target="media/facffc5a5aafc646dfe595613ab0f75da4974082.png"/><Relationship Id="rId13" Type="http://schemas.openxmlformats.org/officeDocument/2006/relationships/image" Target="media/da4f444cd0d1779faaf3a53a3457f4c6aa2ada00.png"/><Relationship Id="rId14" Type="http://schemas.openxmlformats.org/officeDocument/2006/relationships/image" Target="media/7771d91f8c543ff71f08320f85d7e82600a27e72.png"/><Relationship Id="rId15" Type="http://schemas.openxmlformats.org/officeDocument/2006/relationships/image" Target="media/2ba04ea2031dd2ffba3121df75297a1a64424185.png"/><Relationship Id="rId16" Type="http://schemas.openxmlformats.org/officeDocument/2006/relationships/image" Target="media/a2783e491ac68141bd68195ddf04adcadcc1e397.png"/><Relationship Id="rId17" Type="http://schemas.openxmlformats.org/officeDocument/2006/relationships/image" Target="media/9f660d6e7d7fb6310f6cb957ac550523b12759ba.png"/><Relationship Id="rId18" Type="http://schemas.openxmlformats.org/officeDocument/2006/relationships/image" Target="media/12ffb9921ff6ef1d8c6074a8a5067260f46a61e4.png"/><Relationship Id="rId19" Type="http://schemas.openxmlformats.org/officeDocument/2006/relationships/image" Target="media/6e6c69f4511de1420a8e76dc5f74b4fb354d5868.png"/><Relationship Id="rId20" Type="http://schemas.openxmlformats.org/officeDocument/2006/relationships/image" Target="media/b275fbce94de05299dd67821530423759d00e9c5.png"/><Relationship Id="rId21" Type="http://schemas.openxmlformats.org/officeDocument/2006/relationships/image" Target="media/1d8aed3ea403e483a27c7d58b8c2ed3da24b31fd.png"/><Relationship Id="rId22" Type="http://schemas.openxmlformats.org/officeDocument/2006/relationships/image" Target="media/cd747ec016ff9c9a5ba7e16a7aa7c171fac72ee7.png"/><Relationship Id="rId23" Type="http://schemas.openxmlformats.org/officeDocument/2006/relationships/image" Target="media/d1c3a37fbd8f155c88fb98b5540aec316cf38d2e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2026-07-22T12:48:33.273Z</dcterms:created>
  <dcterms:modified xsi:type="dcterms:W3CDTF">2026-07-22T12:48:33.275Z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