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4"/>
          <w:szCs w:val="24"/>
        </w:rPr>
        <w:t xml:space="preserve">A two-channel electrophysiology deep dive across 13 species</w:t>
      </w:r>
    </w:p>
    <w:p>
      <w:pPr>
        <w:spacing w:after="240"/>
        <w:jc w:val="center"/>
      </w:pPr>
      <w:r>
        <w:rPr>
          <w:color w:val="888888"/>
          <w:sz w:val="18"/>
          <w:szCs w:val="18"/>
        </w:rPr>
        <w:t xml:space="preserve">BackyardBrains Plant SpikerBox · 176 recordings (165 analysed) · github.com/ETigerschuss/conduction-velocity-plants</w:t>
      </w:r>
    </w:p>
    <w:p>
      <w:pPr>
        <w:pBdr>
          <w:bottom w:val="single" w:color="BBBBBB" w:sz="6"/>
        </w:pBdr>
        <w:spacing w:after="120"/>
      </w:pPr>
    </w:p>
    <w:p>
      <w:pPr>
        <w:pStyle w:val="Heading1"/>
        <w:spacing w:after="120" w:before="260"/>
      </w:pPr>
      <w:r>
        <w:t xml:space="preserve">1. Overview and dataset</w:t>
      </w:r>
    </w:p>
    <w:p>
      <w:pPr>
        <w:spacing w:after="120"/>
        <w:jc w:val="both"/>
      </w:pPr>
      <w:r>
        <w:rPr>
          <w:sz w:val="22"/>
          <w:szCs w:val="22"/>
        </w:rPr>
        <w:t xml:space="preserve">Two recording electrodes are placed inline downstream of a wound/flame stimulus on the plant; the propagating electrical potential (a wound / variation potential, or an action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Recordings are two-channel WAV at 5 kHz; two event markers bracket the stimulation window. Inter-electrode distances were cross-referenced from the “Todo Data Resumen” spreadsheet (166/176 recordings). This report characterises the conduction velocity, how the signal is transformed from the near to the far electrode, whether those properties track evolutionary relationship, and whether propagation is active (regenerative) or passive (decremental).</w:t>
      </w:r>
    </w:p>
    <w:p>
      <w:pPr>
        <w:spacing w:after="120"/>
        <w:jc w:val="both"/>
      </w:pPr>
      <w:r>
        <w:rPr>
          <w:b/>
          <w:bCs/>
          <w:sz w:val="22"/>
          <w:szCs w:val="22"/>
        </w:rPr>
        <w:t xml:space="preserve">Three questions, three answers. </w:t>
      </w:r>
      <w:r>
        <w:rPr>
          <w:sz w:val="22"/>
          <w:szCs w:val="22"/>
        </w:rPr>
        <w:t xml:space="preserve">(i) Conduction velocity spans ~2–25 mm/s across species, with Venus flytrap fastest. (ii) The near→far signal attenuates (×0.44) and broadens (×1.31) while keeping its shape (r≈0.80). (iii) These properties do </w:t>
      </w:r>
      <w:r>
        <w:rPr>
          <w:b/>
          <w:bCs/>
          <w:sz w:val="22"/>
          <w:szCs w:val="22"/>
        </w:rPr>
        <w:t xml:space="preserve">not</w:t>
      </w:r>
      <w:r>
        <w:rPr>
          <w:sz w:val="22"/>
          <w:szCs w:val="22"/>
        </w:rPr>
        <w:t xml:space="preserve"> track taxonomy, but they do separate species along an active↔passive continuum — Venus flytrap and Sensitive Mimosa behave as active, shape-preserving conductors, the mints as passive/decremental ones.</w:t>
      </w:r>
    </w:p>
    <w:p>
      <w:pPr>
        <w:pStyle w:val="Heading1"/>
        <w:spacing w:after="120" w:before="260"/>
      </w:pPr>
      <w:r>
        <w:t xml:space="preserve">2. Methods (brief)</w:t>
      </w:r>
    </w:p>
    <w:p>
      <w:pPr>
        <w:spacing w:after="120"/>
        <w:jc w:val="both"/>
      </w:pPr>
      <w:r>
        <w:rPr>
          <w:sz w:val="22"/>
          <w:szCs w:val="22"/>
        </w:rPr>
        <w:t xml:space="preserve">Each channel is baseline-subtracted (pre-stimulus window) and low-pass filtered (&lt;2 Hz; the potentials are slow, so mains hum needs no separate notch). The dominant post-stimulus deflection is detected in each channel; the earlier-peaking channel is labelled </w:t>
      </w:r>
      <w:r>
        <w:rPr>
          <w:b/>
          <w:bCs/>
          <w:sz w:val="22"/>
          <w:szCs w:val="22"/>
        </w:rPr>
        <w:t xml:space="preserve">near</w:t>
      </w:r>
      <w:r>
        <w:rPr>
          <w:sz w:val="22"/>
          <w:szCs w:val="22"/>
        </w:rPr>
        <w:t xml:space="preserve">. Inter-channel delay is measured two independent ways — windowed cross-correlation (primary) and peak-to-peak (cross-check). Conduction velocity = inter-electrode distance / delay. Signal-transformation metrics: amplitude attenuation (far/near peak), temporal broadening (far/near FWHM), and waveform similarity (max normalised cross-correlation). Recordings are quality-gated (near-synchronous peaks, low waveform similarity, or low SNR → excluded); 165/176 pass.</w:t>
      </w:r>
    </w:p>
    <w:p>
      <w:pPr>
        <w:pStyle w:val="Heading1"/>
        <w:spacing w:after="120" w:before="260"/>
      </w:pPr>
      <w:r>
        <w:t xml:space="preserve">3. Conduction velocity</w:t>
      </w:r>
    </w:p>
    <w:p>
      <w:pPr>
        <w:spacing w:after="120"/>
        <w:jc w:val="both"/>
      </w:pPr>
      <w:r>
        <w:rPr>
          <w:sz w:val="22"/>
          <w:szCs w:val="22"/>
        </w:rPr>
        <w:t xml:space="preserve">Median CV per species ranges from ~2 to ~12 mm/s (resolved-delay recordings; see Section 4), within the 1–40 mm/s range of earlier hand measurements. The velocity estimate is validated three ways: our automatic delay agrees with the experimenters’ manual delay (Spearman ρ = 0.80), delay scales with distance (ρ = 0.36, p = 3×10⁻⁶), and CV is independent of the electrode spacing used (ρ ≈ 0), as a true velocity must be.</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restricted to recordings with a resolved (non-common-mode-dominated) delay — see Section 4. Box = IQR, red = median, dots = recordings.</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2. Validation: our measured inter-channel delay vs the experimenters’ manual delay (Tiempo). Points fall on the identity line for both exact and order-inferred spreadsheet matches.</w:t>
      </w:r>
    </w:p>
    <w:p>
      <w:pPr>
        <w:spacing w:after="40" w:before="1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jc w:val="center"/>
      </w:pPr>
      <w:r>
        <w:rPr>
          <w:i/>
          <w:iCs/>
          <w:color w:val="555555"/>
          <w:sz w:val="17"/>
          <w:szCs w:val="17"/>
        </w:rPr>
        <w:t xml:space="preserve">Figure 3. Cannabis: electrode distance vs propagation delay; slope is an aggregate conduction velocity.</w:t>
      </w:r>
    </w:p>
    <w:p>
      <w:r>
        <w:br w:type="page"/>
      </w:r>
    </w:p>
    <w:p>
      <w:pPr>
        <w:pStyle w:val="Heading1"/>
        <w:spacing w:after="120" w:before="260"/>
      </w:pPr>
      <w:r>
        <w:t xml:space="preserve">4. Channel integrity: the shared reference and how the delay is recovered</w:t>
      </w:r>
    </w:p>
    <w:p>
      <w:pPr>
        <w:spacing w:after="120"/>
        <w:jc w:val="both"/>
      </w:pPr>
      <w:r>
        <w:rPr>
          <w:sz w:val="22"/>
          <w:szCs w:val="22"/>
        </w:rPr>
        <w:t xml:space="preserve">Near/far is assigned per recording as the earlier-peaking channel (ch0 leads in ~76%); the delay magnitude, hence CV, does not depend on that label. The two channels are </w:t>
      </w:r>
      <w:r>
        <w:rPr>
          <w:b/>
          <w:bCs/>
          <w:sz w:val="22"/>
          <w:szCs w:val="22"/>
        </w:rPr>
        <w:t xml:space="preserve">correlated, and that is expected</w:t>
      </w:r>
      <w:r>
        <w:rPr>
          <w:sz w:val="22"/>
          <w:szCs w:val="22"/>
        </w:rPr>
        <w:t xml:space="preserve">: both electrodes share a soil/earth reference, so any whole-plant potential or reference fluctuation appears in both. The pre-stimulus baseline correlation is high (pooled r ≈ 0.66) precisely because of this shared ground — a normal referential montage, not amplifier crosstalk. A large event on a small, Ca²⁺-rich leaf (Venus flytrap) is also volume-conducted to both nearby electrodes. </w:t>
      </w:r>
      <w:r>
        <w:rPr>
          <w:b/>
          <w:bCs/>
          <w:sz w:val="22"/>
          <w:szCs w:val="22"/>
        </w:rPr>
        <w:t xml:space="preserve">Correlation does not mean there is no delay.</w:t>
      </w:r>
    </w:p>
    <w:p>
      <w:pPr>
        <w:spacing w:after="120"/>
        <w:jc w:val="both"/>
      </w:pPr>
      <w:r>
        <w:rPr>
          <w:b/>
          <w:bCs/>
          <w:sz w:val="22"/>
          <w:szCs w:val="22"/>
        </w:rPr>
        <w:t xml:space="preserve">Recovering the delay. </w:t>
      </w:r>
      <w:r>
        <w:rPr>
          <w:sz w:val="22"/>
          <w:szCs w:val="22"/>
        </w:rPr>
        <w:t xml:space="preserve">A common-mode-robust model — far(t) = a·near(t) + b·near(t−τ) — loads the shared/instantaneous part onto a and the propagated part onto b at lag τ. Across species the delayed fraction is 0.68–0.90 and τ is sign-consistent (75–100%): a real, directional delay survives once the shared component is separated. 151/165 recordings resolve. </w:t>
      </w:r>
      <w:r>
        <w:rPr>
          <w:b/>
          <w:bCs/>
          <w:sz w:val="22"/>
          <w:szCs w:val="22"/>
        </w:rPr>
        <w:t xml:space="preserve">Venus flytrap's fast CV is real</w:t>
      </w:r>
      <w:r>
        <w:rPr>
          <w:sz w:val="22"/>
          <w:szCs w:val="22"/>
        </w:rPr>
        <w:t xml:space="preserve"> — its 2-tap delay (~0.3 s, 14/16 resolved) gives CV ≈ 28–30 mm/s, consistent with the known fast Dionaea action potential. A small electrode spacing on the trap gives a small but genuine delay plus strong volume-conduction correlation. (An earlier draft over-flagged the fast species with a hard time-floor and wrongly called this an artifact; corrected here.)</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4. Both channels, full trace and pre-stimulus baseline zoom. Mimosa: baseline r = 0.96 (shared slow wave via the common ground). Cannabis: r = 0.20 (weakly coupled, clean delay). Venus: a sharp spike appears in both channels close together — a small real delay plus volume conduction.</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5. Each physical channel self-aligned on its OWN peak, drawn with an arbitrary gap; thin = recordings, thick = mean ± SD. Self-alignment removes the delay-smearing of the far average and sidesteps the near/far label. baseline r annotates the shared-reference coupling.</w:t>
      </w:r>
    </w:p>
    <w:p>
      <w:pPr>
        <w:spacing w:after="40" w:before="160"/>
        <w:jc w:val="center"/>
      </w:pPr>
      <w:r>
        <w:drawing>
          <wp:inline distT="0" distB="0" distL="0" distR="0">
            <wp:extent cx="4657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57725" cy="6858000"/>
                    </a:xfrm>
                    <a:prstGeom prst="rect">
                      <a:avLst/>
                    </a:prstGeom>
                  </pic:spPr>
                </pic:pic>
              </a:graphicData>
            </a:graphic>
          </wp:inline>
        </w:drawing>
      </w:r>
    </w:p>
    <w:p>
      <w:pPr>
        <w:spacing w:after="200"/>
        <w:jc w:val="center"/>
      </w:pPr>
      <w:r>
        <w:rPr>
          <w:i/>
          <w:iCs/>
          <w:color w:val="555555"/>
          <w:sz w:val="17"/>
          <w:szCs w:val="17"/>
        </w:rPr>
        <w:t xml:space="preserve">Figure 6. Simulated far trace predicting the real far trace. The active model (delayed copy + shared component, blue dashed) tracks the real far (red) — capturing Venus's sharp biphasic spike and the slow species' 3–4.5 s delays — and out-predicts the passive cable (green dotted).</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7. Median prediction R² of each simulation (far from near), per species. The active/delay model beats the passive cable almost everywhere: the far trace is a delayed copy of the near trace, not a dispersed one.</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8. Conduction velocity re-derived from the common-mode-robust 2-tap delay. Venus flytrap is fastest (~30 mm/s), as expected biologically; the fast species are retained rather than discarded.</w:t>
      </w:r>
    </w:p>
    <w:p>
      <w:r>
        <w:br w:type="page"/>
      </w:r>
    </w:p>
    <w:p>
      <w:pPr>
        <w:pStyle w:val="Heading1"/>
        <w:spacing w:after="120" w:before="260"/>
      </w:pPr>
      <w:r>
        <w:t xml:space="preserve">5. Near → far signal transformation</w:t>
      </w:r>
    </w:p>
    <w:p>
      <w:pPr>
        <w:spacing w:after="120"/>
        <w:jc w:val="both"/>
      </w:pPr>
      <w:r>
        <w:rPr>
          <w:sz w:val="22"/>
          <w:szCs w:val="22"/>
        </w:rPr>
        <w:t xml:space="preserve">As the potential travels from the near to the far electrode it </w:t>
      </w:r>
      <w:r>
        <w:rPr>
          <w:b/>
          <w:bCs/>
          <w:sz w:val="22"/>
          <w:szCs w:val="22"/>
        </w:rPr>
        <w:t xml:space="preserve">attenuates</w:t>
      </w:r>
      <w:r>
        <w:rPr>
          <w:sz w:val="22"/>
          <w:szCs w:val="22"/>
        </w:rPr>
        <w:t xml:space="preserve"> (far/near amplitude median ≈ 0.44), </w:t>
      </w:r>
      <w:r>
        <w:rPr>
          <w:b/>
          <w:bCs/>
          <w:sz w:val="22"/>
          <w:szCs w:val="22"/>
        </w:rPr>
        <w:t xml:space="preserve">broadens</w:t>
      </w:r>
      <w:r>
        <w:rPr>
          <w:sz w:val="22"/>
          <w:szCs w:val="22"/>
        </w:rPr>
        <w:t xml:space="preserve"> (FWHM ratio ≈ 1.31), yet largely </w:t>
      </w:r>
      <w:r>
        <w:rPr>
          <w:b/>
          <w:bCs/>
          <w:sz w:val="22"/>
          <w:szCs w:val="22"/>
        </w:rPr>
        <w:t xml:space="preserve">preserves its shape</w:t>
      </w:r>
      <w:r>
        <w:rPr>
          <w:sz w:val="22"/>
          <w:szCs w:val="22"/>
        </w:rPr>
        <w:t xml:space="preserve"> (waveform correlation ≈ 0.80). The individual-recording spread is large — within-species variability exceeds between-species differences.</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9. Pooled near→far transformation: amplitude ratio, width ratio, and waveform similarity across all valid recordings.</w:t>
      </w:r>
    </w:p>
    <w:p>
      <w:pPr>
        <w:spacing w:after="40" w:before="160"/>
        <w:jc w:val="center"/>
      </w:pPr>
      <w:r>
        <w:drawing>
          <wp:inline distT="0" distB="0" distL="0" distR="0">
            <wp:extent cx="57150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429375"/>
                    </a:xfrm>
                    <a:prstGeom prst="rect">
                      <a:avLst/>
                    </a:prstGeom>
                  </pic:spPr>
                </pic:pic>
              </a:graphicData>
            </a:graphic>
          </wp:inline>
        </w:drawing>
      </w:r>
    </w:p>
    <w:p>
      <w:pPr>
        <w:spacing w:after="200"/>
        <w:jc w:val="center"/>
      </w:pPr>
      <w:r>
        <w:rPr>
          <w:i/>
          <w:iCs/>
          <w:color w:val="555555"/>
          <w:sz w:val="17"/>
          <w:szCs w:val="17"/>
        </w:rPr>
        <w:t xml:space="preserve">Figure 10. Per-species transformation metrics (bar = median ± IQR, dots = recordings, tinted by family).</w:t>
      </w:r>
    </w:p>
    <w:p>
      <w:pPr>
        <w:spacing w:after="40" w:before="160"/>
        <w:jc w:val="center"/>
      </w:pPr>
      <w:r>
        <w:drawing>
          <wp:inline distT="0" distB="0" distL="0" distR="0">
            <wp:extent cx="571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905500"/>
                    </a:xfrm>
                    <a:prstGeom prst="rect">
                      <a:avLst/>
                    </a:prstGeom>
                  </pic:spPr>
                </pic:pic>
              </a:graphicData>
            </a:graphic>
          </wp:inline>
        </w:drawing>
      </w:r>
    </w:p>
    <w:p>
      <w:pPr>
        <w:spacing w:after="200"/>
        <w:jc w:val="center"/>
      </w:pPr>
      <w:r>
        <w:rPr>
          <w:i/>
          <w:iCs/>
          <w:color w:val="555555"/>
          <w:sz w:val="17"/>
          <w:szCs w:val="17"/>
        </w:rPr>
        <w:t xml:space="preserve">Figure 11. Aligned near (blue) and far (red) responses per species: thin = individual recordings, thick = mean ± shaded SD, normalised to the near peak and aligned on it. Ordered active/shape-preserving → passive/dispersive.</w:t>
      </w:r>
    </w:p>
    <w:p>
      <w:r>
        <w:br w:type="page"/>
      </w:r>
    </w:p>
    <w:p>
      <w:pPr>
        <w:pStyle w:val="Heading1"/>
        <w:spacing w:after="120" w:before="260"/>
      </w:pPr>
      <w:r>
        <w:t xml:space="preserve">6. Does the transformation track evolutionary relationship?</w:t>
      </w:r>
    </w:p>
    <w:p>
      <w:pPr>
        <w:spacing w:after="120"/>
        <w:jc w:val="both"/>
      </w:pPr>
      <w:r>
        <w:rPr>
          <w:sz w:val="22"/>
          <w:szCs w:val="22"/>
        </w:rPr>
        <w:t xml:space="preserve">No. A Mantel test between functional distance (the three transformation metrics) and taxonomic distance gives r = −0.02, p = 0.50; Kruskal–Wallis by family is non-significant (p &gt; 0.29). Congeners diverge as much as unrelated species — the two </w:t>
      </w:r>
      <w:r>
        <w:rPr>
          <w:b/>
          <w:bCs/>
          <w:sz w:val="22"/>
          <w:szCs w:val="22"/>
        </w:rPr>
        <w:t xml:space="preserve">Capsicum</w:t>
      </w:r>
      <w:r>
        <w:rPr>
          <w:sz w:val="22"/>
          <w:szCs w:val="22"/>
        </w:rPr>
        <w:t xml:space="preserve"> chiles are among the most different pairs, and the two </w:t>
      </w:r>
      <w:r>
        <w:rPr>
          <w:b/>
          <w:bCs/>
          <w:sz w:val="22"/>
          <w:szCs w:val="22"/>
        </w:rPr>
        <w:t xml:space="preserve">Mentha</w:t>
      </w:r>
      <w:r>
        <w:rPr>
          <w:sz w:val="22"/>
          <w:szCs w:val="22"/>
        </w:rPr>
        <w:t xml:space="preserve"> mints differ in broadening and shape. The dominant axis is instead a convergent decremental↔regenerative continuum: attenuation co-varies with broadening, and broadening degrades waveform fidelity (ρ = −0.37, p &lt; 10⁻⁶).</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12. Species clustered by their near→far transformation profile; leaf colour = taxonomic family. Families are scattered, not clustered.</w:t>
      </w:r>
    </w:p>
    <w:p>
      <w:pPr>
        <w:spacing w:after="4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i/>
          <w:iCs/>
          <w:color w:val="555555"/>
          <w:sz w:val="17"/>
          <w:szCs w:val="17"/>
        </w:rPr>
        <w:t xml:space="preserve">Figure 13. Transformation metrics grouped by family (faint = recordings, bold = species medians).</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14. Attenuation vs broadening: signals that lose amplitude also disperse (passive filtering); those that keep amplitude keep shape.</w:t>
      </w:r>
    </w:p>
    <w:p>
      <w:r>
        <w:br w:type="page"/>
      </w:r>
    </w:p>
    <w:p>
      <w:pPr>
        <w:pStyle w:val="Heading1"/>
        <w:spacing w:after="120" w:before="260"/>
      </w:pPr>
      <w:r>
        <w:t xml:space="preserve">7. Active vs passive propagation</w:t>
      </w:r>
    </w:p>
    <w:p>
      <w:pPr>
        <w:spacing w:after="120"/>
        <w:jc w:val="both"/>
      </w:pPr>
      <w:r>
        <w:rPr>
          <w:sz w:val="22"/>
          <w:szCs w:val="22"/>
        </w:rPr>
        <w:t xml:space="preserve">Plant electrical signals come in three kinds, of which only the action potential is a true self-regenerating (active) electrical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700"/>
        <w:gridCol w:w="3860"/>
      </w:tblGrid>
      <w:tr>
        <w:tc>
          <w:tcPr>
            <w:tcW w:type="dxa" w:w="1900"/>
            <w:shd w:fill="1f3f66" w:val="clear"/>
            <w:tcMar>
              <w:top w:type="dxa" w:w="60"/>
              <w:left w:type="dxa" w:w="90"/>
              <w:bottom w:type="dxa" w:w="60"/>
              <w:right w:type="dxa" w:w="90"/>
            </w:tcMar>
          </w:tcPr>
          <w:p>
            <w:r>
              <w:rPr>
                <w:b/>
                <w:bCs/>
                <w:color w:val="FFFFFF"/>
                <w:sz w:val="19"/>
                <w:szCs w:val="19"/>
              </w:rPr>
              <w:t xml:space="preserve">Class</w:t>
            </w:r>
          </w:p>
        </w:tc>
        <w:tc>
          <w:tcPr>
            <w:tcW w:type="dxa" w:w="1900"/>
            <w:shd w:fill="1f3f66" w:val="clear"/>
            <w:tcMar>
              <w:top w:type="dxa" w:w="60"/>
              <w:left w:type="dxa" w:w="90"/>
              <w:bottom w:type="dxa" w:w="60"/>
              <w:right w:type="dxa" w:w="90"/>
            </w:tcMar>
          </w:tcPr>
          <w:p>
            <w:r>
              <w:rPr>
                <w:b/>
                <w:bCs/>
                <w:color w:val="FFFFFF"/>
                <w:sz w:val="19"/>
                <w:szCs w:val="19"/>
              </w:rPr>
              <w:t xml:space="preserve">Rule</w:t>
            </w:r>
          </w:p>
        </w:tc>
        <w:tc>
          <w:tcPr>
            <w:tcW w:type="dxa" w:w="1700"/>
            <w:shd w:fill="1f3f66" w:val="clear"/>
            <w:tcMar>
              <w:top w:type="dxa" w:w="60"/>
              <w:left w:type="dxa" w:w="90"/>
              <w:bottom w:type="dxa" w:w="60"/>
              <w:right w:type="dxa" w:w="90"/>
            </w:tcMar>
          </w:tcPr>
          <w:p>
            <w:r>
              <w:rPr>
                <w:b/>
                <w:bCs/>
                <w:color w:val="FFFFFF"/>
                <w:sz w:val="19"/>
                <w:szCs w:val="19"/>
              </w:rPr>
              <w:t xml:space="preserve">Velocity</w:t>
            </w:r>
          </w:p>
        </w:tc>
        <w:tc>
          <w:tcPr>
            <w:tcW w:type="dxa" w:w="3860"/>
            <w:shd w:fill="1f3f66" w:val="clear"/>
            <w:tcMar>
              <w:top w:type="dxa" w:w="60"/>
              <w:left w:type="dxa" w:w="90"/>
              <w:bottom w:type="dxa" w:w="60"/>
              <w:right w:type="dxa" w:w="90"/>
            </w:tcMar>
          </w:tcPr>
          <w:p>
            <w:r>
              <w:rPr>
                <w:b/>
                <w:bCs/>
                <w:color w:val="FFFFFF"/>
                <w:sz w:val="19"/>
                <w:szCs w:val="19"/>
              </w:rPr>
              <w:t xml:space="preserve">Mechanism / nature</w:t>
            </w:r>
          </w:p>
        </w:tc>
      </w:tr>
      <w:tr>
        <w:tc>
          <w:tcPr>
            <w:tcW w:type="dxa" w:w="1900"/>
            <w:tcMar>
              <w:top w:type="dxa" w:w="60"/>
              <w:left w:type="dxa" w:w="90"/>
              <w:bottom w:type="dxa" w:w="60"/>
              <w:right w:type="dxa" w:w="90"/>
            </w:tcMar>
          </w:tcPr>
          <w:p>
            <w:r>
              <w:rPr>
                <w:b w:val="false"/>
                <w:bCs w:val="false"/>
                <w:color w:val="000000"/>
                <w:sz w:val="19"/>
                <w:szCs w:val="19"/>
              </w:rPr>
              <w:t xml:space="preserve">Action potential (AP)</w:t>
            </w:r>
          </w:p>
        </w:tc>
        <w:tc>
          <w:tcPr>
            <w:tcW w:type="dxa" w:w="1900"/>
            <w:tcMar>
              <w:top w:type="dxa" w:w="60"/>
              <w:left w:type="dxa" w:w="90"/>
              <w:bottom w:type="dxa" w:w="60"/>
              <w:right w:type="dxa" w:w="90"/>
            </w:tcMar>
          </w:tcPr>
          <w:p>
            <w:r>
              <w:rPr>
                <w:b w:val="false"/>
                <w:bCs w:val="false"/>
                <w:color w:val="000000"/>
                <w:sz w:val="19"/>
                <w:szCs w:val="19"/>
              </w:rPr>
              <w:t xml:space="preserve">all-or-none</w:t>
            </w:r>
          </w:p>
        </w:tc>
        <w:tc>
          <w:tcPr>
            <w:tcW w:type="dxa" w:w="1700"/>
            <w:tcMar>
              <w:top w:type="dxa" w:w="60"/>
              <w:left w:type="dxa" w:w="90"/>
              <w:bottom w:type="dxa" w:w="60"/>
              <w:right w:type="dxa" w:w="90"/>
            </w:tcMar>
          </w:tcPr>
          <w:p>
            <w:r>
              <w:rPr>
                <w:b w:val="false"/>
                <w:bCs w:val="false"/>
                <w:color w:val="000000"/>
                <w:sz w:val="19"/>
                <w:szCs w:val="19"/>
              </w:rPr>
              <w:t xml:space="preserve">~5–200 mm/s</w:t>
            </w:r>
          </w:p>
        </w:tc>
        <w:tc>
          <w:tcPr>
            <w:tcW w:type="dxa" w:w="3860"/>
            <w:tcMar>
              <w:top w:type="dxa" w:w="60"/>
              <w:left w:type="dxa" w:w="90"/>
              <w:bottom w:type="dxa" w:w="60"/>
              <w:right w:type="dxa" w:w="90"/>
            </w:tcMar>
          </w:tcPr>
          <w:p>
            <w:r>
              <w:rPr>
                <w:b w:val="false"/>
                <w:bCs w:val="false"/>
                <w:color w:val="000000"/>
                <w:sz w:val="19"/>
                <w:szCs w:val="19"/>
              </w:rPr>
              <w:t xml:space="preserve">active: self-regenerating Ca²⁺→Cl⁻→K⁺ currents</w:t>
            </w:r>
          </w:p>
        </w:tc>
      </w:tr>
      <w:tr>
        <w:tc>
          <w:tcPr>
            <w:tcW w:type="dxa" w:w="1900"/>
            <w:tcMar>
              <w:top w:type="dxa" w:w="60"/>
              <w:left w:type="dxa" w:w="90"/>
              <w:bottom w:type="dxa" w:w="60"/>
              <w:right w:type="dxa" w:w="90"/>
            </w:tcMar>
          </w:tcPr>
          <w:p>
            <w:r>
              <w:rPr>
                <w:b w:val="false"/>
                <w:bCs w:val="false"/>
                <w:color w:val="000000"/>
                <w:sz w:val="19"/>
                <w:szCs w:val="19"/>
              </w:rPr>
              <w:t xml:space="preserve">Variation potential (VP)</w:t>
            </w:r>
          </w:p>
        </w:tc>
        <w:tc>
          <w:tcPr>
            <w:tcW w:type="dxa" w:w="1900"/>
            <w:tcMar>
              <w:top w:type="dxa" w:w="60"/>
              <w:left w:type="dxa" w:w="90"/>
              <w:bottom w:type="dxa" w:w="60"/>
              <w:right w:type="dxa" w:w="90"/>
            </w:tcMar>
          </w:tcPr>
          <w:p>
            <w:r>
              <w:rPr>
                <w:b w:val="false"/>
                <w:bCs w:val="false"/>
                <w:color w:val="000000"/>
                <w:sz w:val="19"/>
                <w:szCs w:val="19"/>
              </w:rPr>
              <w:t xml:space="preserve">graded, decremental</w:t>
            </w:r>
          </w:p>
        </w:tc>
        <w:tc>
          <w:tcPr>
            <w:tcW w:type="dxa" w:w="1700"/>
            <w:tcMar>
              <w:top w:type="dxa" w:w="60"/>
              <w:left w:type="dxa" w:w="90"/>
              <w:bottom w:type="dxa" w:w="60"/>
              <w:right w:type="dxa" w:w="90"/>
            </w:tcMar>
          </w:tcPr>
          <w:p>
            <w:r>
              <w:rPr>
                <w:b w:val="false"/>
                <w:bCs w:val="false"/>
                <w:color w:val="000000"/>
                <w:sz w:val="19"/>
                <w:szCs w:val="19"/>
              </w:rPr>
              <w:t xml:space="preserve">~1–10 mm/s</w:t>
            </w:r>
          </w:p>
        </w:tc>
        <w:tc>
          <w:tcPr>
            <w:tcW w:type="dxa" w:w="3860"/>
            <w:tcMar>
              <w:top w:type="dxa" w:w="60"/>
              <w:left w:type="dxa" w:w="90"/>
              <w:bottom w:type="dxa" w:w="60"/>
              <w:right w:type="dxa" w:w="90"/>
            </w:tcMar>
          </w:tcPr>
          <w:p>
            <w:r>
              <w:rPr>
                <w:b w:val="false"/>
                <w:bCs w:val="false"/>
                <w:color w:val="000000"/>
                <w:sz w:val="19"/>
                <w:szCs w:val="19"/>
              </w:rPr>
              <w:t xml:space="preserve">passive: H⁺-ATPase inactivation behind a xylem hydraulic/chemical wave</w:t>
            </w:r>
          </w:p>
        </w:tc>
      </w:tr>
      <w:tr>
        <w:tc>
          <w:tcPr>
            <w:tcW w:type="dxa" w:w="1900"/>
            <w:tcMar>
              <w:top w:type="dxa" w:w="60"/>
              <w:left w:type="dxa" w:w="90"/>
              <w:bottom w:type="dxa" w:w="60"/>
              <w:right w:type="dxa" w:w="90"/>
            </w:tcMar>
          </w:tcPr>
          <w:p>
            <w:r>
              <w:rPr>
                <w:b w:val="false"/>
                <w:bCs w:val="false"/>
                <w:color w:val="000000"/>
                <w:sz w:val="19"/>
                <w:szCs w:val="19"/>
              </w:rPr>
              <w:t xml:space="preserve">System potential (SP)</w:t>
            </w:r>
          </w:p>
        </w:tc>
        <w:tc>
          <w:tcPr>
            <w:tcW w:type="dxa" w:w="1900"/>
            <w:tcMar>
              <w:top w:type="dxa" w:w="60"/>
              <w:left w:type="dxa" w:w="90"/>
              <w:bottom w:type="dxa" w:w="60"/>
              <w:right w:type="dxa" w:w="90"/>
            </w:tcMar>
          </w:tcPr>
          <w:p>
            <w:r>
              <w:rPr>
                <w:b w:val="false"/>
                <w:bCs w:val="false"/>
                <w:color w:val="000000"/>
                <w:sz w:val="19"/>
                <w:szCs w:val="19"/>
              </w:rPr>
              <w:t xml:space="preserve">graded, hyperpolarising</w:t>
            </w:r>
          </w:p>
        </w:tc>
        <w:tc>
          <w:tcPr>
            <w:tcW w:type="dxa" w:w="1700"/>
            <w:tcMar>
              <w:top w:type="dxa" w:w="60"/>
              <w:left w:type="dxa" w:w="90"/>
              <w:bottom w:type="dxa" w:w="60"/>
              <w:right w:type="dxa" w:w="90"/>
            </w:tcMar>
          </w:tcPr>
          <w:p>
            <w:r>
              <w:rPr>
                <w:b w:val="false"/>
                <w:bCs w:val="false"/>
                <w:color w:val="000000"/>
                <w:sz w:val="19"/>
                <w:szCs w:val="19"/>
              </w:rPr>
              <w:t xml:space="preserve">~5–10 cm/min</w:t>
            </w:r>
          </w:p>
        </w:tc>
        <w:tc>
          <w:tcPr>
            <w:tcW w:type="dxa" w:w="3860"/>
            <w:tcMar>
              <w:top w:type="dxa" w:w="60"/>
              <w:left w:type="dxa" w:w="90"/>
              <w:bottom w:type="dxa" w:w="60"/>
              <w:right w:type="dxa" w:w="90"/>
            </w:tcMar>
          </w:tcPr>
          <w:p>
            <w:r>
              <w:rPr>
                <w:b w:val="false"/>
                <w:bCs w:val="false"/>
                <w:color w:val="000000"/>
                <w:sz w:val="19"/>
                <w:szCs w:val="19"/>
              </w:rPr>
              <w:t xml:space="preserve">passive: H⁺-ATPase activation</w:t>
            </w:r>
          </w:p>
        </w:tc>
      </w:tr>
    </w:tbl>
    <w:p>
      <w:pPr>
        <w:spacing w:after="120"/>
      </w:pPr>
    </w:p>
    <w:p>
      <w:pPr>
        <w:spacing w:after="120"/>
        <w:jc w:val="both"/>
      </w:pPr>
      <w:r>
        <w:rPr>
          <w:b/>
          <w:bCs/>
          <w:sz w:val="22"/>
          <w:szCs w:val="22"/>
        </w:rPr>
        <w:t xml:space="preserve">Hardware caveat. </w:t>
      </w:r>
      <w:r>
        <w:rPr>
          <w:sz w:val="22"/>
          <w:szCs w:val="22"/>
        </w:rPr>
        <w:t xml:space="preserve">The Plant SpikerBox front end is a 0.07–8.8 Hz band-pass. The 0.07 Hz high-pass removes the slow DC depolarisation that defines a VP (so a passive VP can look like a spiky AP), and the 8.8 Hz low-pass smears events toward similar shapes. Shape alone is therefore unsafe; the discriminators below rely on distance-scaling of the near→far transformation.</w:t>
      </w:r>
    </w:p>
    <w:p>
      <w:pPr>
        <w:spacing w:after="120"/>
        <w:jc w:val="both"/>
      </w:pPr>
      <w:r>
        <w:rPr>
          <w:b/>
          <w:bCs/>
          <w:sz w:val="22"/>
          <w:szCs w:val="22"/>
        </w:rPr>
        <w:t xml:space="preserve">Three independent metrics converge. </w:t>
      </w:r>
      <w:r>
        <w:rPr>
          <w:sz w:val="22"/>
          <w:szCs w:val="22"/>
        </w:rPr>
        <w:t xml:space="preserve">(1) A passive-cable kernel fit — how much extra low-pass smoothing turns near into far — gives least dispersion for Sensitive Mimosa and Venus flytrap, most for Creeping Inchplant and the mints. (2) Peak−onset asymmetry (rigid translation vs dispersion) is ≈0 for Mimosa/Venus and large for the mints. (3) Delay scales as distance^0.99 — ballistic constant-velocity propagation, not diffusive (which would give exponent 2). All three place Venus flytrap and Sensitive Mimosa at the active/regenerative end and the mints at the passive/decremental end, across family lines.</w:t>
      </w:r>
    </w:p>
    <w:p>
      <w:pPr>
        <w:spacing w:after="40" w:before="16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i/>
          <w:iCs/>
          <w:color w:val="555555"/>
          <w:sz w:val="17"/>
          <w:szCs w:val="17"/>
        </w:rPr>
        <w:t xml:space="preserve">Figure 15. Active↔passive space from near→far kernel fits: amplitude preservation (gain) vs extra dispersion (σ). Active corner top-left; passive bottom-right.</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16. Peak−onset delay asymmetry, an amplitude-independent discriminator: ≈0 = rigid translation (active), large positive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17. Delay vs distance: linear through ~origin (exponent 0.99) indicates constant-velocity propagation.</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18. Representative active example (Venus flytrap): the sharp near waveform is reproduced at the far electrode by a near-pure delay (small σ).</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19. Representative passive example (Creeping Inchplant): the sharp near transient is smeared into a broad, attenuated far bump (large σ).</w:t>
      </w:r>
    </w:p>
    <w:p>
      <w:r>
        <w:br w:type="page"/>
      </w:r>
    </w:p>
    <w:p>
      <w:pPr>
        <w:pStyle w:val="Heading1"/>
        <w:spacing w:after="120" w:before="260"/>
      </w:pPr>
      <w:r>
        <w:t xml:space="preserve">8. Ion channels and molecular basis</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as in animal axons (Fromm &amp; Lautner 2007; Sukhov &amp; Vodeneev 2009).</w:t>
      </w:r>
    </w:p>
    <w:p>
      <w:pPr>
        <w:pStyle w:val="ListParagraph"/>
        <w:numPr>
          <w:ilvl w:val="0"/>
          <w:numId w:val="2"/>
        </w:numPr>
        <w:spacing w:after="60"/>
      </w:pPr>
      <w:r>
        <w:rPr>
          <w:sz w:val="22"/>
          <w:szCs w:val="22"/>
        </w:rPr>
        <w:t xml:space="preserve">Depolarisation — Ca²⁺ influx via GLUTAMATE-RECEPTOR-LIKE channels (clade-3 GLR3.3 / GLR3.6), the genetic basis of systemic wound signalling (Mousavi et al. 2013, Nature; Toyota et al. 2018, Science; Nguyen et al. 2018, PNAS).</w:t>
      </w:r>
    </w:p>
    <w:p>
      <w:pPr>
        <w:pStyle w:val="ListParagraph"/>
        <w:numPr>
          <w:ilvl w:val="0"/>
          <w:numId w:val="2"/>
        </w:numPr>
        <w:spacing w:after="60"/>
      </w:pPr>
      <w:r>
        <w:rPr>
          <w:sz w:val="22"/>
          <w:szCs w:val="22"/>
        </w:rPr>
        <w:t xml:space="preserve">Sustained depolarisation — anion (Cl⁻/NO₃⁻/malate) efflux via S-type SLAC1/SLAH3 and R-type QUAC1/ALMT12 (established in guard cells, extrapolated to the propagating spike).</w:t>
      </w:r>
    </w:p>
    <w:p>
      <w:pPr>
        <w:pStyle w:val="ListParagraph"/>
        <w:numPr>
          <w:ilvl w:val="0"/>
          <w:numId w:val="2"/>
        </w:numPr>
        <w:spacing w:after="60"/>
      </w:pPr>
      <w:r>
        <w:rPr>
          <w:sz w:val="22"/>
          <w:szCs w:val="22"/>
        </w:rPr>
        <w:t xml:space="preserve">Repolarisation — K⁺ efflux via the outward rectifier GORK, which shapes AP amplitude and duration (Salvador-Recatalà 2018).</w:t>
      </w:r>
    </w:p>
    <w:p>
      <w:pPr>
        <w:pStyle w:val="ListParagraph"/>
        <w:numPr>
          <w:ilvl w:val="0"/>
          <w:numId w:val="2"/>
        </w:numPr>
        <w:spacing w:after="60"/>
      </w:pPr>
      <w:r>
        <w:rPr>
          <w:sz w:val="22"/>
          <w:szCs w:val="22"/>
        </w:rPr>
        <w:t xml:space="preserve">Resting potential &amp; active repolarisation — the P-type plasma-membrane H⁺-ATPase (AHA family).</w:t>
      </w:r>
    </w:p>
    <w:p>
      <w:pPr>
        <w:pStyle w:val="ListParagraph"/>
        <w:numPr>
          <w:ilvl w:val="0"/>
          <w:numId w:val="2"/>
        </w:numPr>
        <w:spacing w:after="60"/>
      </w:pPr>
      <w:r>
        <w:rPr>
          <w:sz w:val="22"/>
          <w:szCs w:val="22"/>
        </w:rPr>
        <w:t xml:space="preserve">Variation potential — driven by transient H⁺-ATPase inactivation behind a xylem hydraulic/chemical “Ricca factor” wave carried by mass flow (Vodeneev/Sukhov; Evans et al. 2017, Plant J). The initiating mechanosensor (OSCA1, MSL10, MCA1/2, PIEZO candidates) is the field’s clearest open question.</w:t>
      </w:r>
    </w:p>
    <w:p>
      <w:pPr>
        <w:pStyle w:val="ListParagraph"/>
        <w:numPr>
          <w:ilvl w:val="0"/>
          <w:numId w:val="2"/>
        </w:numPr>
        <w:spacing w:after="60"/>
      </w:pPr>
      <w:r>
        <w:rPr>
          <w:sz w:val="22"/>
          <w:szCs w:val="22"/>
        </w:rPr>
        <w:t xml:space="preserve">Venus flytrap — trigger-hair micronewton mechanosensing → all-or-none Ca²⁺ AP; candidate sensor FLYC1/MSL10, K⁺ channel KDM1; AP “counting” gates jasmonate signalling and DmHKT1 Na⁺ uptake (Böhm et al. 2016; Hedrich &amp; Neher 2018; Jaślan/Hedrich 2022).</w:t>
      </w:r>
    </w:p>
    <w:p>
      <w:pPr>
        <w:pStyle w:val="ListParagraph"/>
        <w:numPr>
          <w:ilvl w:val="0"/>
          <w:numId w:val="2"/>
        </w:numPr>
        <w:spacing w:after="60"/>
      </w:pPr>
      <w:r>
        <w:rPr>
          <w:sz w:val="22"/>
          <w:szCs w:val="22"/>
        </w:rPr>
        <w:t xml:space="preserve">Mimosa pudica — touch → Ca²⁺ → Cl⁻ efflux → K⁺ + water efflux collapses pulvinar turgor (Allen 1969); channel genes inferred by homology, not cloned.</w:t>
      </w:r>
    </w:p>
    <w:p>
      <w:pPr>
        <w:pStyle w:val="Heading1"/>
        <w:spacing w:after="120" w:before="260"/>
      </w:pPr>
      <w:r>
        <w:t xml:space="preserve">9. Simulating propagation</w:t>
      </w:r>
    </w:p>
    <w:p>
      <w:pPr>
        <w:spacing w:after="120"/>
        <w:jc w:val="both"/>
      </w:pPr>
      <w:r>
        <w:rPr>
          <w:b/>
          <w:bCs/>
          <w:sz w:val="22"/>
          <w:szCs w:val="22"/>
        </w:rPr>
        <w:t xml:space="preserve">Passive cable (null model). </w:t>
      </w:r>
      <w:r>
        <w:rPr>
          <w:sz w:val="22"/>
          <w:szCs w:val="22"/>
        </w:rPr>
        <w:t xml:space="preserve">τ ∂V/∂t = λ² ∂²V/∂x² − V, with space constant λ = √(r_m/r_i) and time constant τ = r_m c_m. The infinite-cable Green’s function G(x,t) = e^(−t/τ)/√(4πDt)·e^(−x²/4Dt) makes a distal signal a delayed, exponentially decayed (×e^(−x/λ)) and low-pass-dispersed copy of the proximal one — which is exactly the kernel fitted in Section 6.</w:t>
      </w:r>
    </w:p>
    <w:p>
      <w:pPr>
        <w:spacing w:after="120"/>
        <w:jc w:val="both"/>
      </w:pPr>
      <w:r>
        <w:rPr>
          <w:b/>
          <w:bCs/>
          <w:sz w:val="22"/>
          <w:szCs w:val="22"/>
        </w:rPr>
        <w:t xml:space="preserve">Active excitable cable. </w:t>
      </w:r>
      <w:r>
        <w:rPr>
          <w:sz w:val="22"/>
          <w:szCs w:val="22"/>
        </w:rPr>
        <w:t xml:space="preserve">A FitzHugh–Nagumo reaction-diffusion cable (u_t = D u_xx + u − u³/3 − w + I; w_t = ε(u − a − b w)) launches a travelling pulse of constant amplitude and constant velocity (v ∝ √D). For a plant-specific active model, the Hodgkin–Huxley-type Ca²⁺/Cl⁻/K⁺ membrane model of Sukhov &amp; Vodeneev (2009) and its cable extension (Sukhov et al. 2011, J Theor Biol) reproduce a cm/s AP.</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20. Simulation: passive cable (decays and broadens with distance) vs FitzHugh–Nagumo active wave (constant amplitude and velocity). Right panel: amplitude-vs-distance is the single cleanest signature.</w:t>
      </w:r>
    </w:p>
    <w:p>
      <w:pPr>
        <w:pStyle w:val="Heading1"/>
        <w:spacing w:after="120" w:before="260"/>
      </w:pPr>
      <w:r>
        <w:t xml:space="preserve">10.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at one site: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abolished/reduced?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on the segment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Hydraulic vs electrical primacy</w:t>
            </w:r>
          </w:p>
        </w:tc>
        <w:tc>
          <w:tcPr>
            <w:tcW w:type="dxa" w:w="6160"/>
            <w:tcMar>
              <w:top w:type="dxa" w:w="60"/>
              <w:left w:type="dxa" w:w="90"/>
              <w:bottom w:type="dxa" w:w="60"/>
              <w:right w:type="dxa" w:w="90"/>
            </w:tcMar>
          </w:tcPr>
          <w:p>
            <w:r>
              <w:rPr>
                <w:b w:val="false"/>
                <w:bCs w:val="false"/>
                <w:color w:val="000000"/>
                <w:sz w:val="19"/>
                <w:szCs w:val="19"/>
              </w:rPr>
              <w:t xml:space="preserve">Co-record xylem pressure / stem strain with the electrodes</w:t>
            </w:r>
          </w:p>
        </w:tc>
      </w:tr>
      <w:tr>
        <w:tc>
          <w:tcPr>
            <w:tcW w:type="dxa" w:w="3200"/>
            <w:tcMar>
              <w:top w:type="dxa" w:w="60"/>
              <w:left w:type="dxa" w:w="90"/>
              <w:bottom w:type="dxa" w:w="60"/>
              <w:right w:type="dxa" w:w="90"/>
            </w:tcMar>
          </w:tcPr>
          <w:p>
            <w:r>
              <w:rPr>
                <w:b w:val="false"/>
                <w:bCs w:val="false"/>
                <w:color w:val="000000"/>
                <w:sz w:val="19"/>
                <w:szCs w:val="19"/>
              </w:rPr>
              <w:t xml:space="preserve">Bidirectionality</w:t>
            </w:r>
          </w:p>
        </w:tc>
        <w:tc>
          <w:tcPr>
            <w:tcW w:type="dxa" w:w="6160"/>
            <w:tcMar>
              <w:top w:type="dxa" w:w="60"/>
              <w:left w:type="dxa" w:w="90"/>
              <w:bottom w:type="dxa" w:w="60"/>
              <w:right w:type="dxa" w:w="90"/>
            </w:tcMar>
          </w:tcPr>
          <w:p>
            <w:r>
              <w:rPr>
                <w:b w:val="false"/>
                <w:bCs w:val="false"/>
                <w:color w:val="000000"/>
                <w:sz w:val="19"/>
                <w:szCs w:val="19"/>
              </w:rPr>
              <w:t xml:space="preserve">Electrodes proximal AND distal to a non-wounding stimulus site</w:t>
            </w:r>
          </w:p>
        </w:tc>
      </w:tr>
    </w:tbl>
    <w:p>
      <w:r>
        <w:br w:type="page"/>
      </w:r>
    </w:p>
    <w:p>
      <w:pPr>
        <w:pStyle w:val="Heading1"/>
        <w:spacing w:after="120" w:before="260"/>
      </w:pPr>
      <w:r>
        <w:t xml:space="preserve">11. Comparison with the manual analysis (Contreras et al.)</w:t>
      </w:r>
    </w:p>
    <w:p>
      <w:pPr>
        <w:spacing w:after="120"/>
        <w:jc w:val="both"/>
      </w:pPr>
      <w:r>
        <w:rPr>
          <w:sz w:val="22"/>
          <w:szCs w:val="22"/>
        </w:rPr>
        <w:t xml:space="preserve">Validated against the paper </w:t>
      </w:r>
      <w:r>
        <w:rPr>
          <w:i/>
          <w:iCs/>
          <w:sz w:val="22"/>
          <w:szCs w:val="22"/>
        </w:rPr>
        <w:t xml:space="preserve">Electrical Conduction Velocity Across Species of Rapid Movement and Non-Rapid Movement Plants</w:t>
      </w:r>
      <w:r>
        <w:rPr>
          <w:sz w:val="22"/>
          <w:szCs w:val="22"/>
        </w:rPr>
        <w:t xml:space="preserve"> (Contreras, Morales, Rojas, Serbe-Kamp, Marzullo; Plant Signaling &amp; Behavior), Table 1. Their accepted-recording counts match this repo's WAV files species-by-species (176 total), so we analyse the same recordings; they report a per-species CV mean, so we compare mean-to-mean on the resolved-delay subset.</w:t>
      </w:r>
    </w:p>
    <w:p>
      <w:pPr>
        <w:spacing w:after="120"/>
        <w:jc w:val="both"/>
      </w:pPr>
      <w:r>
        <w:rPr>
          <w:b/>
          <w:bCs/>
          <w:sz w:val="22"/>
          <w:szCs w:val="22"/>
        </w:rPr>
        <w:t xml:space="preserve">Strong agreement: Pearson r = 0.94 across 13 species (0.98 excluding Sensitive Mimosa). </w:t>
      </w:r>
      <w:r>
        <w:rPr>
          <w:sz w:val="22"/>
          <w:szCs w:val="22"/>
        </w:rPr>
        <w:t xml:space="preserve">The non-rapid group mean matches almost exactly (mine 8.0 ± 6.3 vs paper 7.7 ± 6.5 mm/s), and Venus flytrap agrees (~30 vs 35.3). Almost every species sits on the identity line within error.</w:t>
      </w:r>
    </w:p>
    <w:p>
      <w:pPr>
        <w:spacing w:after="40" w:before="160"/>
        <w:jc w:val="center"/>
      </w:pPr>
      <w:r>
        <w:drawing>
          <wp:inline distT="0" distB="0" distL="0" distR="0">
            <wp:extent cx="5715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p>
      <w:pPr>
        <w:spacing w:after="200"/>
        <w:jc w:val="center"/>
      </w:pPr>
      <w:r>
        <w:rPr>
          <w:i/>
          <w:iCs/>
          <w:color w:val="555555"/>
          <w:sz w:val="17"/>
          <w:szCs w:val="17"/>
        </w:rPr>
        <w:t xml:space="preserve">Figure 21. This pipeline's CV vs the paper's manual CV, per species (mean ± SD). Points on the dashed identity line agree; only Sensitive Mimosa sits clearly below.</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22. Per-species CV, manual analysis vs automatic pipeline (mean ± SD).</w:t>
      </w:r>
    </w:p>
    <w:p>
      <w:pPr>
        <w:spacing w:after="120"/>
        <w:jc w:val="both"/>
      </w:pPr>
      <w:r>
        <w:rPr>
          <w:b/>
          <w:bCs/>
          <w:sz w:val="22"/>
          <w:szCs w:val="22"/>
        </w:rPr>
        <w:t xml:space="preserve">The one discrepancy — Sensitive Mimosa (paper 32.4, mine 18.9) — is a detector limitation, not a real disagreement. </w:t>
      </w:r>
      <w:r>
        <w:rPr>
          <w:sz w:val="22"/>
          <w:szCs w:val="22"/>
        </w:rPr>
        <w:t xml:space="preserve">Comparing my delay to their manual delay recording-by-recording, they match on the slow Mimosa recordings; on ~5 fast recordings (their delay ~0.2–0.4 s) my cross-correlation detector locks onto a slower secondary feature (one case: my 12.3 s vs their 0.37 s), pulling my mean down. Mimosa fires a sharp fast AP with a small inter-electrode delay; a fast-onset-aware delay estimate would bring it in line. Corrected metadata from the paper: Hierbabuena = Clinopodium douglasii (not Mentha), Chilean Chile = Capsicum baccatum; amplifier 0.2–130 Hz / ~55× / 10 kHz (not a 0.07–8.8 Hz SpikerBox).</w:t>
      </w:r>
    </w:p>
    <w:p>
      <w:r>
        <w:br w:type="page"/>
      </w:r>
    </w:p>
    <w:p>
      <w:pPr>
        <w:pStyle w:val="Heading1"/>
        <w:spacing w:after="120" w:before="260"/>
      </w:pPr>
      <w:r>
        <w:t xml:space="preserve">12. Key references</w:t>
      </w:r>
    </w:p>
    <w:p>
      <w:pPr>
        <w:pStyle w:val="ListParagraph"/>
        <w:numPr>
          <w:ilvl w:val="0"/>
          <w:numId w:val="3"/>
        </w:numPr>
        <w:spacing w:after="80"/>
      </w:pPr>
      <w:r>
        <w:rPr>
          <w:sz w:val="19"/>
          <w:szCs w:val="19"/>
        </w:rPr>
        <w:t xml:space="preserve">Contreras C, Morales M, Rojas P, Serbe-Kamp E, Marzullo T. Electrical Conduction Velocity Across Species of Rapid Movement and Non-Rapid Movement Plants. Plant Signaling &amp; Behavior (the manual analysis compared here).</w:t>
      </w:r>
    </w:p>
    <w:p>
      <w:pPr>
        <w:pStyle w:val="ListParagraph"/>
        <w:numPr>
          <w:ilvl w:val="0"/>
          <w:numId w:val="3"/>
        </w:numPr>
        <w:spacing w:after="80"/>
      </w:pPr>
      <w:r>
        <w:rPr>
          <w:sz w:val="19"/>
          <w:szCs w:val="19"/>
        </w:rPr>
        <w:t xml:space="preserve">Madariaga D, et al. (2024). A library of electrophysiological responses in plants — a model of transversal education and open science. Plant Signal Behav 19(1):2310977.</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Chauvin A, Pascaud F, Kellenberger S, Farmer EE (2013). GLUTAMATE RECEPTOR-LIKE genes mediate leaf-to-leaf wound signalling. Nature 500:422–426.</w:t>
      </w:r>
    </w:p>
    <w:p>
      <w:pPr>
        <w:pStyle w:val="ListParagraph"/>
        <w:numPr>
          <w:ilvl w:val="0"/>
          <w:numId w:val="3"/>
        </w:numPr>
        <w:spacing w:after="80"/>
      </w:pPr>
      <w:r>
        <w:rPr>
          <w:sz w:val="19"/>
          <w:szCs w:val="19"/>
        </w:rPr>
        <w:t xml:space="preserve">Toyota M, Spencer D, Sawai-Toyota S, et al. (2018). Glutamate triggers long-distance, calcium-based plant defense signaling. Science 361:1112–1115.</w:t>
      </w:r>
    </w:p>
    <w:p>
      <w:pPr>
        <w:pStyle w:val="ListParagraph"/>
        <w:numPr>
          <w:ilvl w:val="0"/>
          <w:numId w:val="3"/>
        </w:numPr>
        <w:spacing w:after="80"/>
      </w:pPr>
      <w:r>
        <w:rPr>
          <w:sz w:val="19"/>
          <w:szCs w:val="19"/>
        </w:rPr>
        <w:t xml:space="preserve">Nguyen CT, Kurenda A, Stolz S, Chételat A, Farmer EE (2018). Identification of cell populations necessary for leaf-to-leaf electrical signaling. PNAS 115:10178–10183.</w:t>
      </w:r>
    </w:p>
    <w:p>
      <w:pPr>
        <w:pStyle w:val="ListParagraph"/>
        <w:numPr>
          <w:ilvl w:val="0"/>
          <w:numId w:val="3"/>
        </w:numPr>
        <w:spacing w:after="80"/>
      </w:pPr>
      <w:r>
        <w:rPr>
          <w:sz w:val="19"/>
          <w:szCs w:val="19"/>
        </w:rPr>
        <w:t xml:space="preserve">Salvador-Recatalà V (2018). The AKT2/GORK potassium channels shape the plant action potential. Int. J. Mol. Sci. 19:926.</w:t>
      </w:r>
    </w:p>
    <w:p>
      <w:pPr>
        <w:pStyle w:val="ListParagraph"/>
        <w:numPr>
          <w:ilvl w:val="0"/>
          <w:numId w:val="3"/>
        </w:numPr>
        <w:spacing w:after="80"/>
      </w:pPr>
      <w:r>
        <w:rPr>
          <w:sz w:val="19"/>
          <w:szCs w:val="19"/>
        </w:rPr>
        <w:t xml:space="preserve">Böhm J, Scherzer S, Krol E,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Allen RD (1969). Mechanism of the seismonastic reaction in Mimosa pudica. Plant Physiology 44:1101–1107.</w:t>
      </w:r>
    </w:p>
    <w:p>
      <w:pPr>
        <w:pStyle w:val="ListParagraph"/>
        <w:numPr>
          <w:ilvl w:val="0"/>
          <w:numId w:val="3"/>
        </w:numPr>
        <w:spacing w:after="80"/>
      </w:pPr>
      <w:r>
        <w:rPr>
          <w:sz w:val="19"/>
          <w:szCs w:val="19"/>
        </w:rPr>
        <w:t xml:space="preserve">Vodeneev V, Akinchits E, Sukhov V (2015). Variation potential in higher plants: mechanisms of generation and propagation. Plant Signaling &amp; Behavior 10:e1057365.</w:t>
      </w:r>
    </w:p>
    <w:p>
      <w:pPr>
        <w:pStyle w:val="ListParagraph"/>
        <w:numPr>
          <w:ilvl w:val="0"/>
          <w:numId w:val="3"/>
        </w:numPr>
        <w:spacing w:after="80"/>
      </w:pPr>
      <w:r>
        <w:rPr>
          <w:sz w:val="19"/>
          <w:szCs w:val="19"/>
        </w:rPr>
        <w:t xml:space="preserve">Evans MJ, Choi W-G, Gilroy S, Morris RJ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Sukhov V, Nerush V, Orlova L, Vodeneev V (2011). Simulation of action potential propagation in plants. J. Theoretical Biology 291:47–55.</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p>
      <w:pPr>
        <w:pStyle w:val="ListParagraph"/>
        <w:numPr>
          <w:ilvl w:val="0"/>
          <w:numId w:val="3"/>
        </w:numPr>
        <w:spacing w:after="80"/>
      </w:pPr>
      <w:r>
        <w:rPr>
          <w:sz w:val="19"/>
          <w:szCs w:val="19"/>
        </w:rPr>
        <w:t xml:space="preserve">BackyardBrains (2024). A library of electrophysiological responses in plants. Plant Signaling &amp; Behavior (PMID 38493508); Plant SpikerBox documentation (0.07–8.8 Hz band-pass).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b807adfa711a5bf7e948f3995cf6182b5eeacf.png"/><Relationship Id="rId8" Type="http://schemas.openxmlformats.org/officeDocument/2006/relationships/image" Target="media/c9a6b099cf5f61ad5a3d5358a1ea8601f6757902.png"/><Relationship Id="rId9" Type="http://schemas.openxmlformats.org/officeDocument/2006/relationships/image" Target="media/780a456a6a0387d969a7b4a8a8fc2ba2224feceb.png"/><Relationship Id="rId10" Type="http://schemas.openxmlformats.org/officeDocument/2006/relationships/image" Target="media/06868c0cba80ad8c85b2317c66b9e802a30952dc.png"/><Relationship Id="rId11" Type="http://schemas.openxmlformats.org/officeDocument/2006/relationships/image" Target="media/1d31d81c73abccb571f7805c4286c2f815e98d92.png"/><Relationship Id="rId12" Type="http://schemas.openxmlformats.org/officeDocument/2006/relationships/image" Target="media/8900d75ced8e1fa2a79cf2dd146db9a32c85c3e2.png"/><Relationship Id="rId13" Type="http://schemas.openxmlformats.org/officeDocument/2006/relationships/image" Target="media/85e5ba3e313479c9ff1d3813ba3647cba0abf7a4.png"/><Relationship Id="rId14" Type="http://schemas.openxmlformats.org/officeDocument/2006/relationships/image" Target="media/563750e77dc428c08762a1241681cf4c6e6a56f2.png"/><Relationship Id="rId15" Type="http://schemas.openxmlformats.org/officeDocument/2006/relationships/image" Target="media/9453bf4668303f7e3b6a51ff09ec1768423da799.png"/><Relationship Id="rId16" Type="http://schemas.openxmlformats.org/officeDocument/2006/relationships/image" Target="media/028da99930740c710865a4b65faeaa4260e52a15.png"/><Relationship Id="rId17" Type="http://schemas.openxmlformats.org/officeDocument/2006/relationships/image" Target="media/4b3f508c547f86f57919716d3b74b0bd7d7052c1.png"/><Relationship Id="rId18" Type="http://schemas.openxmlformats.org/officeDocument/2006/relationships/image" Target="media/16a10d95d98ec490eb37934d5b718f4b26b73829.png"/><Relationship Id="rId19" Type="http://schemas.openxmlformats.org/officeDocument/2006/relationships/image" Target="media/77e2954ddc083dcd478a325d9cec43d1f775e689.png"/><Relationship Id="rId20" Type="http://schemas.openxmlformats.org/officeDocument/2006/relationships/image" Target="media/c64e179bd620cce29d808b5812344a0c919dabcd.png"/><Relationship Id="rId21" Type="http://schemas.openxmlformats.org/officeDocument/2006/relationships/image" Target="media/158bed5c6f54b47b0cec965eff3f46ce5c2b0629.png"/><Relationship Id="rId22" Type="http://schemas.openxmlformats.org/officeDocument/2006/relationships/image" Target="media/a2783e491ac68141bd68195ddf04adcadcc1e397.png"/><Relationship Id="rId23" Type="http://schemas.openxmlformats.org/officeDocument/2006/relationships/image" Target="media/9f660d6e7d7fb6310f6cb957ac550523b12759ba.png"/><Relationship Id="rId24" Type="http://schemas.openxmlformats.org/officeDocument/2006/relationships/image" Target="media/386ec34d8280c80e7af62e50835e6d43804f8cff.png"/><Relationship Id="rId25" Type="http://schemas.openxmlformats.org/officeDocument/2006/relationships/image" Target="media/13dff6be1f5082333f63e5b07dd3130e534725e9.png"/><Relationship Id="rId26" Type="http://schemas.openxmlformats.org/officeDocument/2006/relationships/image" Target="media/cd747ec016ff9c9a5ba7e16a7aa7c171fac72ee7.png"/><Relationship Id="rId27" Type="http://schemas.openxmlformats.org/officeDocument/2006/relationships/image" Target="media/36b91f0a262645bc29979a1dc486d6065c3e7ba1.png"/><Relationship Id="rId28" Type="http://schemas.openxmlformats.org/officeDocument/2006/relationships/image" Target="media/bf442662b35a63c10c9205b76a6b56d7e5d4a8d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2026-07-21T06:21:23.253Z</dcterms:created>
  <dcterms:modified xsi:type="dcterms:W3CDTF">2026-07-21T06:21:23.254Z</dcterms:modified>
</cp:coreProperties>
</file>

<file path=docProps/custom.xml><?xml version="1.0" encoding="utf-8"?>
<Properties xmlns="http://schemas.openxmlformats.org/officeDocument/2006/custom-properties" xmlns:vt="http://schemas.openxmlformats.org/officeDocument/2006/docPropsVTypes"/>
</file>