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sectPr>
          <w:pgSz w:w="11906" w:h="16838"/>
          <w:pgMar w:top="282" w:right="1382" w:bottom="394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7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225800" cy="47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47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282" w:right="1382" w:bottom="394" w:left="1440" w:header="720" w:footer="720" w:gutter="0"/>
          <w:cols w:num="2" w:equalWidth="0">
            <w:col w:w="5964" w:space="0"/>
            <w:col w:w="312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428749" cy="353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8749" cy="353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sectPr>
          <w:type w:val="nextColumn"/>
          <w:pgSz w:w="11906" w:h="16838"/>
          <w:pgMar w:top="282" w:right="1382" w:bottom="394" w:left="1440" w:header="720" w:footer="720" w:gutter="0"/>
          <w:cols w:num="2" w:equalWidth="0">
            <w:col w:w="5964" w:space="0"/>
            <w:col w:w="3120" w:space="0"/>
          </w:cols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1008" w:firstLine="0"/>
        <w:jc w:val="left"/>
      </w:pPr>
      <w:r>
        <w:rPr>
          <w:rFonts w:ascii="Arial" w:hAnsi="Arial" w:eastAsia="Arial"/>
          <w:b/>
          <w:i w:val="0"/>
          <w:color w:val="00A398"/>
          <w:sz w:val="48"/>
        </w:rPr>
        <w:t xml:space="preserve">Guidance Note: </w:t>
      </w:r>
      <w:r>
        <w:rPr>
          <w:rFonts w:ascii="Arial" w:hAnsi="Arial" w:eastAsia="Arial"/>
          <w:b/>
          <w:i/>
          <w:color w:val="00A398"/>
          <w:sz w:val="48"/>
        </w:rPr>
        <w:t xml:space="preserve">Course Design </w:t>
      </w:r>
      <w:r>
        <w:br/>
      </w:r>
      <w:r>
        <w:rPr>
          <w:rFonts w:ascii="Arial" w:hAnsi="Arial" w:eastAsia="Arial"/>
          <w:b/>
          <w:i/>
          <w:color w:val="00A398"/>
          <w:sz w:val="48"/>
        </w:rPr>
        <w:t xml:space="preserve">(including Learning Outcomes and </w:t>
      </w:r>
      <w:r>
        <w:rPr>
          <w:rFonts w:ascii="Arial" w:hAnsi="Arial" w:eastAsia="Arial"/>
          <w:b/>
          <w:i/>
          <w:color w:val="00A398"/>
          <w:sz w:val="48"/>
        </w:rPr>
        <w:t xml:space="preserve">Assessment) </w:t>
      </w:r>
    </w:p>
    <w:p>
      <w:pPr>
        <w:autoSpaceDN w:val="0"/>
        <w:autoSpaceDE w:val="0"/>
        <w:widowControl/>
        <w:spacing w:line="276" w:lineRule="auto" w:before="1706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808080"/>
          <w:sz w:val="22"/>
        </w:rPr>
        <w:t xml:space="preserve">Version 1.3 (11 October 2017) </w:t>
      </w:r>
    </w:p>
    <w:p>
      <w:pPr>
        <w:autoSpaceDN w:val="0"/>
        <w:autoSpaceDE w:val="0"/>
        <w:widowControl/>
        <w:spacing w:line="247" w:lineRule="auto" w:before="80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2"/>
        </w:rPr>
        <w:t xml:space="preserve">Providers should note that Guidance Notes are intended to provide guidance only. They are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not definitive or binding documents. Nor are they prescriptive. The definitive instruments for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regulatory purposes remain the TEQSA Act and the Higher Education Standards Framework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as amended from time to time. </w:t>
      </w:r>
    </w:p>
    <w:p>
      <w:pPr>
        <w:autoSpaceDN w:val="0"/>
        <w:autoSpaceDE w:val="0"/>
        <w:widowControl/>
        <w:spacing w:line="286" w:lineRule="auto" w:before="41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A398"/>
          <w:sz w:val="44"/>
        </w:rPr>
        <w:t xml:space="preserve">What is course design? </w:t>
      </w:r>
    </w:p>
    <w:p>
      <w:pPr>
        <w:autoSpaceDN w:val="0"/>
        <w:autoSpaceDE w:val="0"/>
        <w:widowControl/>
        <w:spacing w:line="245" w:lineRule="auto" w:before="168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Course design can be defined structurally as the content, duration and sequencing of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>elements (units) of a course of study</w:t>
      </w:r>
      <w:r>
        <w:rPr>
          <w:rFonts w:ascii="ArialMT" w:hAnsi="ArialMT" w:eastAsia="ArialMT"/>
          <w:b w:val="0"/>
          <w:i w:val="0"/>
          <w:color w:val="000000"/>
          <w:sz w:val="14"/>
        </w:rPr>
        <w:t>1</w:t>
      </w:r>
      <w:r>
        <w:rPr>
          <w:rFonts w:ascii="ArialMT" w:hAnsi="ArialMT" w:eastAsia="ArialMT"/>
          <w:b w:val="0"/>
          <w:i w:val="0"/>
          <w:color w:val="000000"/>
          <w:sz w:val="22"/>
        </w:rPr>
        <w:t>. This structural definition is broadened by the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 Higher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Education Standards Framework (Threshold Standards) 2015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(HES Framework) to include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various other design characteristics including entry requirements and pathways, the nature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of the content, the expected learning outcomes, their sequence of attainment and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assessment, and professional accreditation if required. For the purpose of meeting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requirements of the HES Framework, the Framework effectively defines course design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through the scope of the relevant Standards. </w:t>
      </w:r>
    </w:p>
    <w:p>
      <w:pPr>
        <w:autoSpaceDN w:val="0"/>
        <w:autoSpaceDE w:val="0"/>
        <w:widowControl/>
        <w:spacing w:line="286" w:lineRule="auto" w:before="41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A398"/>
          <w:sz w:val="44"/>
        </w:rPr>
        <w:t xml:space="preserve">Relevant Standards in the HES Framework </w:t>
      </w:r>
    </w:p>
    <w:p>
      <w:pPr>
        <w:autoSpaceDN w:val="0"/>
        <w:autoSpaceDE w:val="0"/>
        <w:widowControl/>
        <w:spacing w:line="247" w:lineRule="auto" w:before="16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principal Standards concerned with course design are at Section 3.1. Learning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outcomes and Standards concerned with their assessment are at Section 1.4. These are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linked to various elements of Domain 7 in relation to the publication of information about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courses of study to inform prospective students and other stakeholders. There are also links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between learning outcomes (Standard 1.4.1) and the level of an AQF qualification awarded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(Standard 1.5.3). </w:t>
      </w:r>
    </w:p>
    <w:p>
      <w:pPr>
        <w:autoSpaceDN w:val="0"/>
        <w:autoSpaceDE w:val="0"/>
        <w:widowControl/>
        <w:spacing w:line="283" w:lineRule="auto" w:before="41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A398"/>
          <w:sz w:val="44"/>
        </w:rPr>
        <w:t xml:space="preserve">Intent of the Standards </w:t>
      </w:r>
    </w:p>
    <w:p>
      <w:pPr>
        <w:autoSpaceDN w:val="0"/>
        <w:autoSpaceDE w:val="0"/>
        <w:widowControl/>
        <w:spacing w:line="262" w:lineRule="auto" w:before="16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overall intent of the course design Standards is to identify what is required in the design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of a course of study that leads to a higher education qualification. Standard 3.1.1 outlines </w:t>
      </w:r>
    </w:p>
    <w:p>
      <w:pPr>
        <w:autoSpaceDN w:val="0"/>
        <w:autoSpaceDE w:val="0"/>
        <w:widowControl/>
        <w:spacing w:line="286" w:lineRule="auto" w:before="30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3"/>
        </w:rPr>
        <w:t>1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 course of study is a coherent sequence of units of study leading to the award of a qualification. </w:t>
      </w:r>
    </w:p>
    <w:p>
      <w:pPr>
        <w:autoSpaceDN w:val="0"/>
        <w:autoSpaceDE w:val="0"/>
        <w:widowControl/>
        <w:spacing w:line="257" w:lineRule="auto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use of ‘course of study’ in the Standards includes both coursework and higher degree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research programs unless otherwise specified. Courses of study are sometimes known as ‘programs’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units of study are sometimes called ‘modules’ or ‘subjects’. </w:t>
      </w:r>
    </w:p>
    <w:p>
      <w:pPr>
        <w:autoSpaceDN w:val="0"/>
        <w:autoSpaceDE w:val="0"/>
        <w:widowControl/>
        <w:spacing w:line="300" w:lineRule="auto" w:before="344" w:after="0"/>
        <w:ind w:left="0" w:right="60" w:firstLine="0"/>
        <w:jc w:val="right"/>
      </w:pPr>
      <w:r>
        <w:rPr>
          <w:rFonts w:ascii="ArialMT" w:hAnsi="ArialMT" w:eastAsia="ArialMT"/>
          <w:b w:val="0"/>
          <w:i w:val="0"/>
          <w:color w:val="00847E"/>
          <w:sz w:val="20"/>
        </w:rPr>
        <w:t xml:space="preserve">Page </w:t>
      </w:r>
      <w:r>
        <w:rPr>
          <w:rFonts w:ascii="Arial" w:hAnsi="Arial" w:eastAsia="Arial"/>
          <w:b/>
          <w:i w:val="0"/>
          <w:color w:val="00847E"/>
          <w:sz w:val="20"/>
        </w:rPr>
        <w:t>1</w:t>
      </w:r>
      <w:r>
        <w:rPr>
          <w:rFonts w:ascii="ArialMT" w:hAnsi="ArialMT" w:eastAsia="ArialMT"/>
          <w:b w:val="0"/>
          <w:i w:val="0"/>
          <w:color w:val="00847E"/>
          <w:sz w:val="20"/>
        </w:rPr>
        <w:t xml:space="preserve"> of </w:t>
      </w:r>
      <w:r>
        <w:rPr>
          <w:rFonts w:ascii="Arial" w:hAnsi="Arial" w:eastAsia="Arial"/>
          <w:b/>
          <w:i w:val="0"/>
          <w:color w:val="00847E"/>
          <w:sz w:val="20"/>
        </w:rPr>
        <w:t>5</w:t>
      </w:r>
    </w:p>
    <w:p>
      <w:pPr>
        <w:sectPr>
          <w:type w:val="continuous"/>
          <w:pgSz w:w="11906" w:h="16838"/>
          <w:pgMar w:top="282" w:right="1382" w:bottom="3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sectPr>
          <w:pgSz w:w="11906" w:h="16838"/>
          <w:pgMar w:top="284" w:right="1360" w:bottom="3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7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225800" cy="476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47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284" w:right="1360" w:bottom="394" w:left="1440" w:header="720" w:footer="720" w:gutter="0"/>
          <w:cols w:num="2" w:equalWidth="0">
            <w:col w:w="5964" w:space="0"/>
            <w:col w:w="3141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8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428749" cy="3530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8749" cy="353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32"/>
        <w:sectPr>
          <w:type w:val="nextColumn"/>
          <w:pgSz w:w="11906" w:h="16838"/>
          <w:pgMar w:top="284" w:right="1360" w:bottom="394" w:left="1440" w:header="720" w:footer="720" w:gutter="0"/>
          <w:cols w:num="2" w:equalWidth="0">
            <w:col w:w="5964" w:space="0"/>
            <w:col w:w="3141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items that constitute the specification of the design. This specification gives an overall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picture of the course of study in sufficient detail for an expert in the field to undertake an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initial assessment of the scope and nature of the course and for prospective students to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make an informed choice about the course (see Section 7.2). Section 3.2 focuses in detail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on the nature of the content required of a higher education course, including its consistency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with the level of study concerned and the expected learning outcomes. How the design of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course is intended to enable progressive and coherent achievement of the expected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learning outcomes is encompassed by Standard 3.1.3, and it is expected that this should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occur irrespective of the mode of participation or delivery (Standard 3.1.4). The design of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course of study also needs to address accreditation of the course of study by a professional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body where this is required for registration to practise (Standard 3.1.5). </w:t>
      </w:r>
    </w:p>
    <w:p>
      <w:pPr>
        <w:autoSpaceDN w:val="0"/>
        <w:autoSpaceDE w:val="0"/>
        <w:widowControl/>
        <w:spacing w:line="245" w:lineRule="auto" w:before="7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Standards for learning outcomes require a provider to specify the learning outcomes for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 course, including demonstrating their consistency with the field of education and level of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qualification awarded. The Standards also require a provider’s specification of learning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outcomes to be informed by national and international comparators, without specifying how 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provider chooses to achieve this requirement. The Standards require achievement of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different classes of learning outcomes (see Standard 1.4.2) including specific, generic,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employment-related and life-long learning outcomes, and that all learning outcomes are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assessed prior to completion of the course of study, irrespective of how and where they are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assessed (Standard 1.4.4). Methods of assessment also need to provide students with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timely feedback on their progress towards achieving course learning outcomes (Standard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1.3.3). </w:t>
      </w:r>
    </w:p>
    <w:p>
      <w:pPr>
        <w:autoSpaceDN w:val="0"/>
        <w:autoSpaceDE w:val="0"/>
        <w:widowControl/>
        <w:spacing w:line="250" w:lineRule="auto" w:before="72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There is a specific requirement to demonstrate the appropriateness, fitness of purpose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effectiveness of all methods of assessment for all providers (Standard 1.4.3) and there is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specific detail on the requirements for and assessment of learning outcomes for research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training by higher degrees, if undertaken by a provider. </w:t>
      </w:r>
    </w:p>
    <w:p>
      <w:pPr>
        <w:autoSpaceDN w:val="0"/>
        <w:autoSpaceDE w:val="0"/>
        <w:widowControl/>
        <w:spacing w:line="286" w:lineRule="auto" w:before="41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A398"/>
          <w:sz w:val="44"/>
        </w:rPr>
        <w:t xml:space="preserve">Risks to Quality </w:t>
      </w:r>
    </w:p>
    <w:p>
      <w:pPr>
        <w:autoSpaceDN w:val="0"/>
        <w:autoSpaceDE w:val="0"/>
        <w:widowControl/>
        <w:spacing w:line="247" w:lineRule="auto" w:before="16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 addressing course design and learning outcomes, the HES Framework seeks to prevent 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series of important risks to the quality, outcomes and reputation of higher education. Failure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to adequately and publicly specify the design of a course inhibits comparisons of courses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and informed choice by students. It also indirectly potentially diminishes the standing of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Australian higher education if international comparisons cannot be made, as do learning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outcomes that are not informed by international comparators. </w:t>
      </w:r>
    </w:p>
    <w:p>
      <w:pPr>
        <w:autoSpaceDN w:val="0"/>
        <w:autoSpaceDE w:val="0"/>
        <w:widowControl/>
        <w:spacing w:line="245" w:lineRule="auto" w:before="7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Failure to meet the requirements of the HES Framework leads to risks of learning outcomes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and course designs not being fit for higher education, particularly in relation to the level of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advanced inquiry involved, with a consequent degradation of qualifications. There is also 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risk that learning outcomes are poorly defined or not defined at all, and that they may be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narrowly focused rather than embracing specific, generic, employment-related and life-long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learning outcomes as expected of contemporary higher education. Inadequate consideration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of different modes of participation or delivery may lead to disadvantage for some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individuals/cohorts. </w:t>
      </w:r>
    </w:p>
    <w:p>
      <w:pPr>
        <w:autoSpaceDN w:val="0"/>
        <w:autoSpaceDE w:val="0"/>
        <w:widowControl/>
        <w:spacing w:line="247" w:lineRule="auto" w:before="72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If the achievement and assessment of expected learning outcomes are not aligned for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course of study overall, there is a risk of learning outcomes not being achieved or not being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adequately assessed, or of some outcomes being assessed excessively to the detriment of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others that are given little attention or ignored. Insufficient diligence in selecting methods of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assessment may result in invalid or otherwise unreliable assessment, to the extent that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students may graduate who have not in fact achieved the learning outcomes of the course. </w:t>
      </w:r>
    </w:p>
    <w:p>
      <w:pPr>
        <w:autoSpaceDN w:val="0"/>
        <w:autoSpaceDE w:val="0"/>
        <w:widowControl/>
        <w:spacing w:line="300" w:lineRule="auto" w:before="840" w:after="0"/>
        <w:ind w:left="0" w:right="82" w:firstLine="0"/>
        <w:jc w:val="right"/>
      </w:pPr>
      <w:r>
        <w:rPr>
          <w:rFonts w:ascii="ArialMT" w:hAnsi="ArialMT" w:eastAsia="ArialMT"/>
          <w:b w:val="0"/>
          <w:i w:val="0"/>
          <w:color w:val="00847E"/>
          <w:sz w:val="20"/>
        </w:rPr>
        <w:t xml:space="preserve">Page </w:t>
      </w:r>
      <w:r>
        <w:rPr>
          <w:rFonts w:ascii="Arial" w:hAnsi="Arial" w:eastAsia="Arial"/>
          <w:b/>
          <w:i w:val="0"/>
          <w:color w:val="00847E"/>
          <w:sz w:val="20"/>
        </w:rPr>
        <w:t>2</w:t>
      </w:r>
      <w:r>
        <w:rPr>
          <w:rFonts w:ascii="ArialMT" w:hAnsi="ArialMT" w:eastAsia="ArialMT"/>
          <w:b w:val="0"/>
          <w:i w:val="0"/>
          <w:color w:val="00847E"/>
          <w:sz w:val="20"/>
        </w:rPr>
        <w:t xml:space="preserve"> of </w:t>
      </w:r>
      <w:r>
        <w:rPr>
          <w:rFonts w:ascii="Arial" w:hAnsi="Arial" w:eastAsia="Arial"/>
          <w:b/>
          <w:i w:val="0"/>
          <w:color w:val="00847E"/>
          <w:sz w:val="20"/>
        </w:rPr>
        <w:t>5</w:t>
      </w:r>
    </w:p>
    <w:p>
      <w:pPr>
        <w:sectPr>
          <w:type w:val="continuous"/>
          <w:pgSz w:w="11906" w:h="16838"/>
          <w:pgMar w:top="284" w:right="1360" w:bottom="3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sectPr>
          <w:pgSz w:w="11906" w:h="16838"/>
          <w:pgMar w:top="282" w:right="1302" w:bottom="394" w:left="13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225800" cy="476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47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6" w:lineRule="auto" w:before="198" w:after="0"/>
        <w:ind w:left="118" w:right="0" w:firstLine="0"/>
        <w:jc w:val="left"/>
      </w:pPr>
      <w:r>
        <w:rPr>
          <w:rFonts w:ascii="ArialMT" w:hAnsi="ArialMT" w:eastAsia="ArialMT"/>
          <w:b w:val="0"/>
          <w:i w:val="0"/>
          <w:color w:val="00A398"/>
          <w:sz w:val="44"/>
        </w:rPr>
        <w:t xml:space="preserve">What TEQSA will look for </w:t>
      </w:r>
    </w:p>
    <w:p>
      <w:pPr>
        <w:sectPr>
          <w:type w:val="continuous"/>
          <w:pgSz w:w="11906" w:h="16838"/>
          <w:pgMar w:top="282" w:right="1302" w:bottom="394" w:left="1322" w:header="720" w:footer="720" w:gutter="0"/>
          <w:cols w:num="2" w:equalWidth="0">
            <w:col w:w="6082" w:space="0"/>
            <w:col w:w="320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13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428749" cy="3530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8749" cy="353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4"/>
        <w:sectPr>
          <w:type w:val="nextColumn"/>
          <w:pgSz w:w="11906" w:h="16838"/>
          <w:pgMar w:top="282" w:right="1302" w:bottom="394" w:left="1322" w:header="720" w:footer="720" w:gutter="0"/>
          <w:cols w:num="2" w:equalWidth="0">
            <w:col w:w="6082" w:space="0"/>
            <w:col w:w="32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282"/>
      </w:tblGrid>
      <w:tr>
        <w:trPr>
          <w:trHeight w:hRule="exact" w:val="5066"/>
        </w:trPr>
        <w:tc>
          <w:tcPr>
            <w:tcW w:type="dxa" w:w="9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1da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10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This part of the guidance note covers the full extent of the Standards, and corresponding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evidence that TEQSA may require, in relation to course design, learning outcomes and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assessment. </w:t>
            </w:r>
          </w:p>
          <w:p>
            <w:pPr>
              <w:autoSpaceDN w:val="0"/>
              <w:autoSpaceDE w:val="0"/>
              <w:widowControl/>
              <w:spacing w:line="262" w:lineRule="auto" w:before="70" w:after="0"/>
              <w:ind w:left="110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For new applicants seeking initial registration and course accreditation, TEQSA will require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evidence to be provided in relation to all relevant Standards. </w:t>
            </w:r>
          </w:p>
          <w:p>
            <w:pPr>
              <w:autoSpaceDN w:val="0"/>
              <w:autoSpaceDE w:val="0"/>
              <w:widowControl/>
              <w:spacing w:line="250" w:lineRule="auto" w:before="70" w:after="0"/>
              <w:ind w:left="110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For existing providers, the scope of Standards to be assessed and the evidence required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may vary. This is consistent with the regulatory principles in the TEQSA Act, under which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TEQSA has discretion to vary the scope of its assessments and the related evidence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required. In exercising this discretion, TEQSA will be guided by the provider’s regulatory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history, its risk profile and its track record in delivering high quality higher education. </w:t>
            </w:r>
          </w:p>
          <w:p>
            <w:pPr>
              <w:autoSpaceDN w:val="0"/>
              <w:autoSpaceDE w:val="0"/>
              <w:widowControl/>
              <w:spacing w:line="262" w:lineRule="auto" w:before="72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TEQSA’s case managers will discuss with providers the scope of assessments and evidence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required well ahead of the due date for submitting an application. </w:t>
            </w:r>
          </w:p>
          <w:p>
            <w:pPr>
              <w:autoSpaceDN w:val="0"/>
              <w:autoSpaceDE w:val="0"/>
              <w:widowControl/>
              <w:spacing w:line="262" w:lineRule="auto" w:before="72" w:after="0"/>
              <w:ind w:left="110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The evidence required for particular types of application is available from the Application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Guides on the TEQSA website. </w:t>
            </w:r>
          </w:p>
          <w:p>
            <w:pPr>
              <w:autoSpaceDN w:val="0"/>
              <w:autoSpaceDE w:val="0"/>
              <w:widowControl/>
              <w:spacing w:line="254" w:lineRule="auto" w:before="74" w:after="0"/>
              <w:ind w:left="110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Providers are required to comply with the Standards at all times, not just at the time of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application, and TEQSA may seek evidence of compliance at other times if a risk of non-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compliance is identified. </w:t>
            </w:r>
          </w:p>
        </w:tc>
      </w:tr>
    </w:tbl>
    <w:p>
      <w:pPr>
        <w:autoSpaceDN w:val="0"/>
        <w:autoSpaceDE w:val="0"/>
        <w:widowControl/>
        <w:spacing w:line="245" w:lineRule="auto" w:before="218" w:after="0"/>
        <w:ind w:left="118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When providers apply to TEQSA for course accreditation, they are required to provide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detailed course documentation. In other circumstances (i.e. if an issue arises outside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scope of a formal application) TEQSA may be in a position to readily form a view on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basis of the publicly available information (required under Standard 7.2.2). Such an issue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may also prompt a request for further information, which in turn may also be influenced by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provider’s previous record of meeting the requirements of the HES Framework in course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design for cognate or different fields of education. </w:t>
      </w:r>
    </w:p>
    <w:p>
      <w:pPr>
        <w:autoSpaceDN w:val="0"/>
        <w:autoSpaceDE w:val="0"/>
        <w:widowControl/>
        <w:spacing w:line="252" w:lineRule="auto" w:before="70" w:after="0"/>
        <w:ind w:left="118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Broadly speaking, the specification of the design of the course provided to TEQSA for 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course accreditation application should allow a peer to form a view on the standing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quality of the course, and allow prospective students to compare comparable offerings from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different providers. </w:t>
      </w:r>
    </w:p>
    <w:p>
      <w:pPr>
        <w:autoSpaceDN w:val="0"/>
        <w:autoSpaceDE w:val="0"/>
        <w:widowControl/>
        <w:spacing w:line="245" w:lineRule="auto" w:before="70" w:after="0"/>
        <w:ind w:left="118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TEQSA requires that a provider be able to demonstrate that the content and learning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activities of the course are of a sufficiently advanced level and otherwise appropriate to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higher education, and are consistent with the field of education and the level of qualification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involved. TEQSA will probe these aspects intensively in relation to the requirements of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Standards 3.1.2 and 3.1.3. A provider may wish to advance credible national or international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comparators in support of the course design (note that this is required for learning outcomes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at Standard 1.4.1). Reference may also be made to the specifications of the AQF for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level of qualification concerned. In the case of ‘nested’ course designs, TEQSA will pay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particular attention to entry and exit pathways and to the integrity of course design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learning outcomes for each exit point. </w:t>
      </w:r>
    </w:p>
    <w:p>
      <w:pPr>
        <w:autoSpaceDN w:val="0"/>
        <w:autoSpaceDE w:val="0"/>
        <w:widowControl/>
        <w:spacing w:line="245" w:lineRule="auto" w:before="70" w:after="0"/>
        <w:ind w:left="1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Where the provider’s intention is to offer a course of study in different locations or by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different modes of participation or delivery, TEQSA will need to be satisfied that the design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of the course is such that students have equivalent opportunities to achieve the expected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learning outcomes irrespective of their mode of participation. As for external accreditation of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course by a professional body (Standard 3.1.5), providers are encouraged to discuss this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with their TEQSA case manager as early as practicable to explore opportunities for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harmonisation and synergies between the processes. </w:t>
      </w:r>
    </w:p>
    <w:p>
      <w:pPr>
        <w:autoSpaceDN w:val="0"/>
        <w:autoSpaceDE w:val="0"/>
        <w:widowControl/>
        <w:spacing w:line="300" w:lineRule="auto" w:before="672" w:after="0"/>
        <w:ind w:left="0" w:right="140" w:firstLine="0"/>
        <w:jc w:val="right"/>
      </w:pPr>
      <w:r>
        <w:rPr>
          <w:rFonts w:ascii="ArialMT" w:hAnsi="ArialMT" w:eastAsia="ArialMT"/>
          <w:b w:val="0"/>
          <w:i w:val="0"/>
          <w:color w:val="00847E"/>
          <w:sz w:val="20"/>
        </w:rPr>
        <w:t xml:space="preserve">Page </w:t>
      </w:r>
      <w:r>
        <w:rPr>
          <w:rFonts w:ascii="Arial" w:hAnsi="Arial" w:eastAsia="Arial"/>
          <w:b/>
          <w:i w:val="0"/>
          <w:color w:val="00847E"/>
          <w:sz w:val="20"/>
        </w:rPr>
        <w:t>3</w:t>
      </w:r>
      <w:r>
        <w:rPr>
          <w:rFonts w:ascii="ArialMT" w:hAnsi="ArialMT" w:eastAsia="ArialMT"/>
          <w:b w:val="0"/>
          <w:i w:val="0"/>
          <w:color w:val="00847E"/>
          <w:sz w:val="20"/>
        </w:rPr>
        <w:t xml:space="preserve"> of </w:t>
      </w:r>
      <w:r>
        <w:rPr>
          <w:rFonts w:ascii="Arial" w:hAnsi="Arial" w:eastAsia="Arial"/>
          <w:b/>
          <w:i w:val="0"/>
          <w:color w:val="00847E"/>
          <w:sz w:val="20"/>
        </w:rPr>
        <w:t>5</w:t>
      </w:r>
    </w:p>
    <w:p>
      <w:pPr>
        <w:sectPr>
          <w:type w:val="continuous"/>
          <w:pgSz w:w="11906" w:h="16838"/>
          <w:pgMar w:top="282" w:right="1302" w:bottom="394" w:left="13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sectPr>
          <w:pgSz w:w="11906" w:h="16838"/>
          <w:pgMar w:top="284" w:right="1360" w:bottom="3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7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225800" cy="476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47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284" w:right="1360" w:bottom="394" w:left="1440" w:header="720" w:footer="720" w:gutter="0"/>
          <w:cols w:num="2" w:equalWidth="0">
            <w:col w:w="5964" w:space="0"/>
            <w:col w:w="3141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8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428749" cy="3530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8749" cy="353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32"/>
        <w:sectPr>
          <w:type w:val="nextColumn"/>
          <w:pgSz w:w="11906" w:h="16838"/>
          <w:pgMar w:top="284" w:right="1360" w:bottom="394" w:left="1440" w:header="720" w:footer="720" w:gutter="0"/>
          <w:cols w:num="2" w:equalWidth="0">
            <w:col w:w="5964" w:space="0"/>
            <w:col w:w="3141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Just as TEQSA will be concerned that a course of study and its content are fit for higher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education, it will be similarly diligent in relation to the nature, quality and level of the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expected learning outcomes for the course (Standards 1.4.1-1.4.2). This will include an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assessment of the credibility of comparators advanced by the provider (Standard 1.4.1)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may involve expert/peer review. Similarly, TEQSA will wish to be satisfied that the methods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of assessment of learning outcomes that are used throughout the course are credibly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capable of valid assessment of the various outcomes concerned for the level of qualification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offered (see also Standard 1.5.3). The Standards require that all specified learning outcomes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are assessed before completion of the course of study (Standard 1.4.4) and that progressive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and coherent achievement of learning outcomes is planned in the design of the course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(Standard 3.1.3). </w:t>
      </w:r>
    </w:p>
    <w:p>
      <w:pPr>
        <w:autoSpaceDN w:val="0"/>
        <w:autoSpaceDE w:val="0"/>
        <w:widowControl/>
        <w:spacing w:line="245" w:lineRule="auto" w:before="72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TEQSA will expect some clear information demonstrating where course learning outcomes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are taught, practised and assessed, whether at unit level or at course level (e.g. via a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‘capstone’ assessment and/or an assessment against a set of occupational or professional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standards) or a combination of these (Standard 1.4.4). TEQSA may require an appropriate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demonstration that the learning outcomes that are assessed at individual unit level (and/or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within a capstone unit) reasonably demonstrate achievement of overall course learning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outcomes on graduation. The Standards also require that any grades awarded reflect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level of student attainment (Standard 1.4.3). TEQSA will expect providers to be able to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advance credible evidence (such as moderation exercises, peer reviews, benchmarking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studies) that will satisfy TEQSA in this respect. </w:t>
      </w:r>
    </w:p>
    <w:p>
      <w:pPr>
        <w:autoSpaceDN w:val="0"/>
        <w:autoSpaceDE w:val="0"/>
        <w:widowControl/>
        <w:spacing w:line="245" w:lineRule="auto" w:before="70" w:after="0"/>
        <w:ind w:left="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For those providers that offer research training by higher degrees, TEQSA will need to be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satisfied that the additional requirements for the specification and assessment of learning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outcomes for research training are met (Standards 1.4.5-1.4.7). This may involve an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assessment of the relevant policies and procedures governing assessment for research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degrees, and their implementation, as exemplified by assessment of actual reports from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examiners for a sample of relevant assessments. The details of this process would be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arranged in consultation with the provider’s case manager at TEQSA. </w:t>
      </w:r>
    </w:p>
    <w:p>
      <w:pPr>
        <w:autoSpaceDN w:val="0"/>
        <w:autoSpaceDE w:val="0"/>
        <w:widowControl/>
        <w:spacing w:line="286" w:lineRule="auto" w:before="41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A398"/>
          <w:sz w:val="44"/>
        </w:rPr>
        <w:t xml:space="preserve">Scope of assessments </w:t>
      </w:r>
    </w:p>
    <w:p>
      <w:pPr>
        <w:autoSpaceDN w:val="0"/>
        <w:autoSpaceDE w:val="0"/>
        <w:widowControl/>
        <w:spacing w:line="245" w:lineRule="auto" w:before="16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If, as a result of looking in detail at the provider’s capabilities in course design and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assessment of learning outcomes, TEQSA is satisfied that the provider’s processes meet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requirements of the HES Framework and that there is evidence of continuing sustainability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and effectiveness of these processes, this may allow TEQSA to reduce its evidence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requirements for other Standards and/or for subsequent regulatory activities for other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courses of study. On the other hand, if concerns are raised in relation to the provider’s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capabilities, this may require TEQSA to probe the design and assessment of other courses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 more detail. </w:t>
      </w:r>
    </w:p>
    <w:p>
      <w:pPr>
        <w:autoSpaceDN w:val="0"/>
        <w:autoSpaceDE w:val="0"/>
        <w:widowControl/>
        <w:spacing w:line="300" w:lineRule="auto" w:before="3608" w:after="0"/>
        <w:ind w:left="0" w:right="82" w:firstLine="0"/>
        <w:jc w:val="right"/>
      </w:pPr>
      <w:r>
        <w:rPr>
          <w:rFonts w:ascii="ArialMT" w:hAnsi="ArialMT" w:eastAsia="ArialMT"/>
          <w:b w:val="0"/>
          <w:i w:val="0"/>
          <w:color w:val="00847E"/>
          <w:sz w:val="20"/>
        </w:rPr>
        <w:t xml:space="preserve">Page </w:t>
      </w:r>
      <w:r>
        <w:rPr>
          <w:rFonts w:ascii="Arial" w:hAnsi="Arial" w:eastAsia="Arial"/>
          <w:b/>
          <w:i w:val="0"/>
          <w:color w:val="00847E"/>
          <w:sz w:val="20"/>
        </w:rPr>
        <w:t>4</w:t>
      </w:r>
      <w:r>
        <w:rPr>
          <w:rFonts w:ascii="ArialMT" w:hAnsi="ArialMT" w:eastAsia="ArialMT"/>
          <w:b w:val="0"/>
          <w:i w:val="0"/>
          <w:color w:val="00847E"/>
          <w:sz w:val="20"/>
        </w:rPr>
        <w:t xml:space="preserve"> of </w:t>
      </w:r>
      <w:r>
        <w:rPr>
          <w:rFonts w:ascii="Arial" w:hAnsi="Arial" w:eastAsia="Arial"/>
          <w:b/>
          <w:i w:val="0"/>
          <w:color w:val="00847E"/>
          <w:sz w:val="20"/>
        </w:rPr>
        <w:t>5</w:t>
      </w:r>
    </w:p>
    <w:p>
      <w:pPr>
        <w:sectPr>
          <w:type w:val="continuous"/>
          <w:pgSz w:w="11906" w:h="16838"/>
          <w:pgMar w:top="284" w:right="1360" w:bottom="3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sectPr>
          <w:pgSz w:w="11906" w:h="16838"/>
          <w:pgMar w:top="282" w:right="1082" w:bottom="394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8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225800" cy="476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47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282" w:right="1082" w:bottom="394" w:left="1430" w:header="720" w:footer="720" w:gutter="0"/>
          <w:cols w:num="2" w:equalWidth="0">
            <w:col w:w="5974" w:space="0"/>
            <w:col w:w="342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81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428749" cy="3530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8749" cy="353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12"/>
        <w:sectPr>
          <w:type w:val="nextColumn"/>
          <w:pgSz w:w="11906" w:h="16838"/>
          <w:pgMar w:top="282" w:right="1082" w:bottom="394" w:left="1430" w:header="720" w:footer="720" w:gutter="0"/>
          <w:cols w:num="2" w:equalWidth="0">
            <w:col w:w="5974" w:space="0"/>
            <w:col w:w="3420" w:space="0"/>
          </w:cols>
          <w:docGrid w:linePitch="360"/>
        </w:sectPr>
      </w:pPr>
    </w:p>
    <w:p>
      <w:pPr>
        <w:autoSpaceDN w:val="0"/>
        <w:autoSpaceDE w:val="0"/>
        <w:widowControl/>
        <w:spacing w:line="286" w:lineRule="auto" w:before="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A398"/>
          <w:sz w:val="44"/>
        </w:rPr>
        <w:t xml:space="preserve">Resources and references </w:t>
      </w:r>
    </w:p>
    <w:p>
      <w:pPr>
        <w:autoSpaceDN w:val="0"/>
        <w:autoSpaceDE w:val="0"/>
        <w:widowControl/>
        <w:spacing w:line="262" w:lineRule="auto" w:before="166" w:after="0"/>
        <w:ind w:left="10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>Australian Qualifications Frame</w:t>
      </w:r>
      <w:r>
        <w:rPr>
          <w:rFonts w:ascii="ArialMT" w:hAnsi="ArialMT" w:eastAsia="Arial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work Council (2013), </w:t>
          </w:r>
        </w:hyperlink>
      </w:r>
      <w:r>
        <w:rPr>
          <w:rFonts w:ascii="Arial" w:hAnsi="Arial" w:eastAsia="Arial"/>
          <w:b w:val="0"/>
          <w:i/>
          <w:color w:val="000000"/>
          <w:sz w:val="22"/>
        </w:rPr>
        <w:hyperlink r:id="rId11" w:history="1">
          <w:r>
            <w:rPr>
              <w:rStyle w:val="Hyperlink"/>
            </w:rPr>
            <w:t>Aus</w:t>
          </w:r>
        </w:hyperlink>
      </w:r>
      <w:r>
        <w:rPr>
          <w:rFonts w:ascii="Arial" w:hAnsi="Arial" w:eastAsia="Arial"/>
          <w:b w:val="0"/>
          <w:i/>
          <w:color w:val="000000"/>
          <w:sz w:val="22"/>
        </w:rPr>
        <w:t xml:space="preserve">tralian Qualifications Framework </w:t>
      </w:r>
      <w:r>
        <w:rPr>
          <w:rFonts w:ascii="Arial" w:hAnsi="Arial" w:eastAsia="Arial"/>
          <w:b w:val="0"/>
          <w:i/>
          <w:color w:val="000000"/>
          <w:sz w:val="22"/>
        </w:rPr>
        <w:t xml:space="preserve">Second Edition January 2013, </w:t>
      </w:r>
      <w:r>
        <w:rPr>
          <w:rFonts w:ascii="ArialMT" w:hAnsi="ArialMT" w:eastAsia="ArialMT"/>
          <w:b w:val="0"/>
          <w:i w:val="0"/>
          <w:color w:val="000000"/>
          <w:sz w:val="22"/>
        </w:rPr>
        <w:t>&lt;</w:t>
      </w:r>
      <w:r>
        <w:rPr>
          <w:u w:val="single" w:color="00847d"/>
          <w:rFonts w:ascii="ArialMT" w:hAnsi="ArialMT" w:eastAsia="ArialMT"/>
          <w:b w:val="0"/>
          <w:i w:val="0"/>
          <w:color w:val="00847E"/>
          <w:sz w:val="22"/>
        </w:rPr>
        <w:hyperlink r:id="rId11" w:history="1">
          <w:r>
            <w:rPr>
              <w:rStyle w:val="Hyperlink"/>
            </w:rPr>
            <w:t>https://www.aqf.edu.au/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&gt;. </w:t>
      </w:r>
    </w:p>
    <w:p>
      <w:pPr>
        <w:autoSpaceDN w:val="0"/>
        <w:autoSpaceDE w:val="0"/>
        <w:widowControl/>
        <w:spacing w:line="286" w:lineRule="auto" w:before="7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>FLIPCurric website, &lt;</w:t>
      </w:r>
      <w:r>
        <w:rPr>
          <w:u w:val="single" w:color="00847d"/>
          <w:rFonts w:ascii="ArialMT" w:hAnsi="ArialMT" w:eastAsia="ArialMT"/>
          <w:b w:val="0"/>
          <w:i w:val="0"/>
          <w:color w:val="00847E"/>
          <w:sz w:val="22"/>
        </w:rPr>
        <w:hyperlink r:id="rId12" w:history="1">
          <w:r>
            <w:rPr>
              <w:rStyle w:val="Hyperlink"/>
            </w:rPr>
            <w:t>http://flipc</w:t>
          </w:r>
        </w:hyperlink>
      </w:r>
      <w:r>
        <w:rPr>
          <w:u w:val="single" w:color="00847d"/>
          <w:rFonts w:ascii="ArialMT" w:hAnsi="ArialMT" w:eastAsia="ArialMT"/>
          <w:b w:val="0"/>
          <w:i w:val="0"/>
          <w:color w:val="00847E"/>
          <w:sz w:val="22"/>
        </w:rPr>
        <w:hyperlink r:id="rId11" w:history="1">
          <w:r>
            <w:rPr>
              <w:rStyle w:val="Hyperlink"/>
            </w:rPr>
            <w:t>urric.edu.au/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&gt;. </w:t>
          </w:r>
        </w:hyperlink>
      </w:r>
    </w:p>
    <w:p>
      <w:pPr>
        <w:autoSpaceDN w:val="0"/>
        <w:autoSpaceDE w:val="0"/>
        <w:widowControl/>
        <w:spacing w:line="262" w:lineRule="auto" w:before="74" w:after="0"/>
        <w:ind w:left="10" w:right="216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hyperlink r:id="rId13" w:history="1">
          <w:r>
            <w:rPr>
              <w:rStyle w:val="Hyperlink"/>
            </w:rPr>
            <w:t>Office for Learning an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22"/>
        </w:rPr>
        <w:hyperlink r:id="rId13" w:history="1">
          <w:r>
            <w:rPr>
              <w:rStyle w:val="Hyperlink"/>
            </w:rPr>
            <w:t xml:space="preserve">d Teaching project, </w:t>
          </w:r>
        </w:hyperlink>
      </w:r>
      <w:r>
        <w:rPr>
          <w:rFonts w:ascii="Arial" w:hAnsi="Arial" w:eastAsia="Arial"/>
          <w:b w:val="0"/>
          <w:i/>
          <w:color w:val="000000"/>
          <w:sz w:val="22"/>
        </w:rPr>
        <w:hyperlink r:id="rId13" w:history="1">
          <w:r>
            <w:rPr>
              <w:rStyle w:val="Hyperlink"/>
            </w:rPr>
            <w:t>As</w:t>
          </w:r>
        </w:hyperlink>
      </w:r>
      <w:r>
        <w:rPr>
          <w:rFonts w:ascii="Arial" w:hAnsi="Arial" w:eastAsia="Arial"/>
          <w:b w:val="0"/>
          <w:i/>
          <w:color w:val="000000"/>
          <w:sz w:val="22"/>
        </w:rPr>
        <w:hyperlink r:id="rId13" w:history="1">
          <w:r>
            <w:rPr>
              <w:rStyle w:val="Hyperlink"/>
            </w:rPr>
            <w:t>suring Gr</w:t>
          </w:r>
        </w:hyperlink>
      </w:r>
      <w:r>
        <w:rPr>
          <w:rFonts w:ascii="Arial" w:hAnsi="Arial" w:eastAsia="Arial"/>
          <w:b w:val="0"/>
          <w:i/>
          <w:color w:val="000000"/>
          <w:sz w:val="22"/>
        </w:rPr>
        <w:t>aduate Capabilities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, </w:t>
      </w:r>
      <w:r>
        <w:rPr>
          <w:rFonts w:ascii="ArialMT" w:hAnsi="ArialMT" w:eastAsia="ArialMT"/>
          <w:b w:val="0"/>
          <w:i w:val="0"/>
          <w:color w:val="000000"/>
          <w:sz w:val="22"/>
        </w:rPr>
        <w:t>&lt;</w:t>
      </w:r>
      <w:r>
        <w:rPr>
          <w:u w:val="single" w:color="00847d"/>
          <w:rFonts w:ascii="ArialMT" w:hAnsi="ArialMT" w:eastAsia="ArialMT"/>
          <w:b w:val="0"/>
          <w:i w:val="0"/>
          <w:color w:val="00847E"/>
          <w:sz w:val="22"/>
        </w:rPr>
        <w:hyperlink r:id="rId13" w:history="1">
          <w:r>
            <w:rPr>
              <w:rStyle w:val="Hyperlink"/>
            </w:rPr>
            <w:t>https://ltr.edu.au/resources/Oliver_Report_2015.pdf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&gt;. </w:t>
      </w:r>
    </w:p>
    <w:p>
      <w:pPr>
        <w:autoSpaceDN w:val="0"/>
        <w:autoSpaceDE w:val="0"/>
        <w:widowControl/>
        <w:spacing w:line="254" w:lineRule="auto" w:before="74" w:after="0"/>
        <w:ind w:left="1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hyperlink r:id="rId14" w:history="1">
          <w:r>
            <w:rPr>
              <w:rStyle w:val="Hyperlink"/>
            </w:rPr>
            <w:t xml:space="preserve">Office for Learning and Teaching, </w:t>
          </w:r>
        </w:hyperlink>
      </w:r>
      <w:r>
        <w:rPr>
          <w:rFonts w:ascii="Arial" w:hAnsi="Arial" w:eastAsia="Arial"/>
          <w:b w:val="0"/>
          <w:i/>
          <w:color w:val="000000"/>
          <w:sz w:val="22"/>
        </w:rPr>
        <w:hyperlink r:id="rId14" w:history="1">
          <w:r>
            <w:rPr>
              <w:rStyle w:val="Hyperlink"/>
            </w:rPr>
            <w:t>Assuring Learning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22"/>
        </w:rPr>
        <w:t>, &lt;</w:t>
      </w:r>
      <w:r>
        <w:rPr>
          <w:u w:val="single" w:color="00847d"/>
          <w:rFonts w:ascii="ArialMT" w:hAnsi="ArialMT" w:eastAsia="ArialMT"/>
          <w:b w:val="0"/>
          <w:i w:val="0"/>
          <w:color w:val="00847E"/>
          <w:sz w:val="22"/>
        </w:rPr>
        <w:hyperlink r:id="rId14" w:history="1">
          <w:r>
            <w:rPr>
              <w:rStyle w:val="Hyperlink"/>
            </w:rPr>
            <w:t>https://ltr.edu.au/resources/SP13-</w:t>
          </w:r>
        </w:hyperlink>
      </w:r>
      <w:r>
        <w:rPr>
          <w:u w:val="single" w:color="00847d"/>
          <w:rFonts w:ascii="ArialMT" w:hAnsi="ArialMT" w:eastAsia="ArialMT"/>
          <w:b w:val="0"/>
          <w:i w:val="0"/>
          <w:color w:val="00847E"/>
          <w:sz w:val="22"/>
        </w:rPr>
        <w:t>3227_Freeman%20and%20Ewan_GPR_Assuring%20</w:t>
      </w:r>
      <w:r>
        <w:rPr>
          <w:u w:val="single" w:color="00847d"/>
          <w:u w:val="single" w:color="00847d"/>
          <w:rFonts w:ascii="ArialMT" w:hAnsi="ArialMT" w:eastAsia="ArialMT"/>
          <w:b w:val="0"/>
          <w:i w:val="0"/>
          <w:color w:val="00847E"/>
          <w:sz w:val="22"/>
        </w:rPr>
        <w:hyperlink r:id="rId14" w:history="1">
          <w:r>
            <w:rPr>
              <w:rStyle w:val="Hyperlink"/>
            </w:rPr>
            <w:t>Learning%20Outcomes%20and%</w:t>
          </w:r>
        </w:hyperlink>
      </w:r>
      <w:r>
        <w:rPr>
          <w:u w:val="single" w:color="00847d"/>
          <w:rFonts w:ascii="ArialMT" w:hAnsi="ArialMT" w:eastAsia="ArialMT"/>
          <w:b w:val="0"/>
          <w:i w:val="0"/>
          <w:color w:val="00847E"/>
          <w:sz w:val="22"/>
        </w:rPr>
        <w:hyperlink r:id="rId14" w:history="1">
          <w:r>
            <w:rPr>
              <w:rStyle w:val="Hyperlink"/>
            </w:rPr>
            <w:t xml:space="preserve">20S </w:t>
          </w:r>
        </w:hyperlink>
      </w:r>
      <w:r>
        <w:rPr>
          <w:u w:val="single" w:color="00847d"/>
          <w:u w:val="single" w:color="00847d"/>
          <w:rFonts w:ascii="ArialMT" w:hAnsi="ArialMT" w:eastAsia="ArialMT"/>
          <w:b w:val="0"/>
          <w:i w:val="0"/>
          <w:color w:val="00847E"/>
          <w:sz w:val="22"/>
        </w:rPr>
        <w:hyperlink r:id="rId14" w:history="1">
          <w:r>
            <w:rPr>
              <w:rStyle w:val="Hyperlink"/>
            </w:rPr>
            <w:t>tandards_2014.pdf</w:t>
          </w:r>
        </w:hyperlink>
      </w:r>
      <w:r>
        <w:rPr>
          <w:u w:val="single" w:color="00847d"/>
          <w:rFonts w:ascii="ArialMT" w:hAnsi="ArialMT" w:eastAsia="ArialMT"/>
          <w:b w:val="0"/>
          <w:i w:val="0"/>
          <w:color w:val="1F497D"/>
          <w:sz w:val="22"/>
        </w:rPr>
        <w:hyperlink r:id="rId14" w:history="1">
          <w:r>
            <w:rPr>
              <w:rStyle w:val="Hyperlink"/>
            </w:rPr>
            <w:t>&gt;</w:t>
          </w:r>
        </w:hyperlink>
      </w:r>
    </w:p>
    <w:p>
      <w:pPr>
        <w:autoSpaceDN w:val="0"/>
        <w:autoSpaceDE w:val="0"/>
        <w:widowControl/>
        <w:spacing w:line="262" w:lineRule="auto" w:before="74" w:after="0"/>
        <w:ind w:left="10" w:right="100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hyperlink r:id="rId14" w:history="1">
          <w:r>
            <w:rPr>
              <w:rStyle w:val="Hyperlink"/>
            </w:rPr>
            <w:t>Publicati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22"/>
        </w:rPr>
        <w:hyperlink r:id="rId15" w:history="1">
          <w:r>
            <w:rPr>
              <w:rStyle w:val="Hyperlink"/>
            </w:rPr>
            <w:t>ons develo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22"/>
        </w:rPr>
        <w:hyperlink r:id="rId15" w:history="1">
          <w:r>
            <w:rPr>
              <w:rStyle w:val="Hyperlink"/>
            </w:rPr>
            <w:t xml:space="preserve">ped by the </w:t>
          </w:r>
        </w:hyperlink>
      </w:r>
      <w:r>
        <w:rPr>
          <w:rFonts w:ascii="Arial" w:hAnsi="Arial" w:eastAsia="Arial"/>
          <w:b w:val="0"/>
          <w:i/>
          <w:color w:val="000000"/>
          <w:sz w:val="22"/>
        </w:rPr>
        <w:hyperlink r:id="rId15" w:history="1">
          <w:r>
            <w:rPr>
              <w:rStyle w:val="Hyperlink"/>
            </w:rPr>
            <w:t>Assessing and Assuring Gra</w:t>
          </w:r>
        </w:hyperlink>
      </w:r>
      <w:r>
        <w:rPr>
          <w:rFonts w:ascii="Arial" w:hAnsi="Arial" w:eastAsia="Arial"/>
          <w:b w:val="0"/>
          <w:i/>
          <w:color w:val="000000"/>
          <w:sz w:val="22"/>
        </w:rPr>
        <w:t xml:space="preserve">duate Learning Outcomes </w:t>
      </w:r>
      <w:r>
        <w:rPr>
          <w:rFonts w:ascii="Arial" w:hAnsi="Arial" w:eastAsia="Arial"/>
          <w:b w:val="0"/>
          <w:i/>
          <w:color w:val="000000"/>
          <w:sz w:val="22"/>
        </w:rPr>
        <w:t>Project</w:t>
      </w:r>
      <w:r>
        <w:rPr>
          <w:rFonts w:ascii="ArialMT" w:hAnsi="ArialMT" w:eastAsia="ArialMT"/>
          <w:b w:val="0"/>
          <w:i w:val="0"/>
          <w:color w:val="000000"/>
          <w:sz w:val="22"/>
        </w:rPr>
        <w:t>, &lt;</w:t>
      </w:r>
      <w:r>
        <w:rPr>
          <w:u w:val="single" w:color="00847d"/>
          <w:rFonts w:ascii="ArialMT" w:hAnsi="ArialMT" w:eastAsia="ArialMT"/>
          <w:b w:val="0"/>
          <w:i w:val="0"/>
          <w:color w:val="00847E"/>
          <w:sz w:val="22"/>
        </w:rPr>
        <w:hyperlink r:id="rId15" w:history="1">
          <w:r>
            <w:rPr>
              <w:rStyle w:val="Hyperlink"/>
            </w:rPr>
            <w:t>https://www.voced.edu.au/content/ngv%3A64397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&gt;. </w:t>
      </w:r>
    </w:p>
    <w:p>
      <w:pPr>
        <w:autoSpaceDN w:val="0"/>
        <w:autoSpaceDE w:val="0"/>
        <w:widowControl/>
        <w:spacing w:line="254" w:lineRule="auto" w:before="72" w:after="0"/>
        <w:ind w:left="10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>Quality A</w:t>
      </w:r>
      <w:r>
        <w:rPr>
          <w:rFonts w:ascii="ArialMT" w:hAnsi="ArialMT" w:eastAsia="ArialMT"/>
          <w:b w:val="0"/>
          <w:i w:val="0"/>
          <w:color w:val="000000"/>
          <w:sz w:val="22"/>
        </w:rPr>
        <w:hyperlink r:id="rId15" w:history="1">
          <w:r>
            <w:rPr>
              <w:rStyle w:val="Hyperlink"/>
            </w:rPr>
            <w:t xml:space="preserve">ssurance Agency (2014), </w:t>
          </w:r>
        </w:hyperlink>
      </w:r>
      <w:r>
        <w:rPr>
          <w:rFonts w:ascii="Arial" w:hAnsi="Arial" w:eastAsia="Arial"/>
          <w:b w:val="0"/>
          <w:i/>
          <w:color w:val="000000"/>
          <w:sz w:val="22"/>
        </w:rPr>
        <w:hyperlink r:id="rId15" w:history="1">
          <w:r>
            <w:rPr>
              <w:rStyle w:val="Hyperlink"/>
            </w:rPr>
            <w:t>UK Quality Cod</w:t>
          </w:r>
        </w:hyperlink>
      </w:r>
      <w:r>
        <w:rPr>
          <w:rFonts w:ascii="Arial" w:hAnsi="Arial" w:eastAsia="Arial"/>
          <w:b w:val="0"/>
          <w:i/>
          <w:color w:val="000000"/>
          <w:sz w:val="22"/>
        </w:rPr>
        <w:hyperlink r:id="rId15" w:history="1">
          <w:r>
            <w:rPr>
              <w:rStyle w:val="Hyperlink"/>
            </w:rPr>
            <w:t>e for Hig</w:t>
          </w:r>
        </w:hyperlink>
      </w:r>
      <w:r>
        <w:rPr>
          <w:rFonts w:ascii="Arial" w:hAnsi="Arial" w:eastAsia="Arial"/>
          <w:b w:val="0"/>
          <w:i/>
          <w:color w:val="000000"/>
          <w:sz w:val="22"/>
        </w:rPr>
        <w:hyperlink r:id="rId16" w:history="1">
          <w:r>
            <w:rPr>
              <w:rStyle w:val="Hyperlink"/>
            </w:rPr>
            <w:t>her Education</w:t>
          </w:r>
        </w:hyperlink>
      </w:r>
      <w:r>
        <w:rPr>
          <w:rFonts w:ascii="Arial" w:hAnsi="Arial" w:eastAsia="Arial"/>
          <w:b w:val="0"/>
          <w:i/>
          <w:color w:val="000000"/>
          <w:sz w:val="14"/>
        </w:rPr>
        <w:t>2</w:t>
      </w:r>
      <w:r>
        <w:rPr>
          <w:rFonts w:ascii="Arial" w:hAnsi="Arial" w:eastAsia="Arial"/>
          <w:b w:val="0"/>
          <w:i/>
          <w:color w:val="000000"/>
          <w:sz w:val="22"/>
        </w:rPr>
        <w:hyperlink r:id="rId16" w:history="1">
          <w:r>
            <w:rPr>
              <w:rStyle w:val="Hyperlink"/>
            </w:rPr>
            <w:t xml:space="preserve">, 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22"/>
        </w:rPr>
        <w:hyperlink r:id="rId16" w:history="1">
          <w:r>
            <w:rPr>
              <w:rStyle w:val="Hyperlink"/>
            </w:rPr>
            <w:t xml:space="preserve">Chapter B1: 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22"/>
        </w:rPr>
        <w:hyperlink r:id="rId16" w:history="1">
          <w:r>
            <w:rPr>
              <w:rStyle w:val="Hyperlink"/>
            </w:rPr>
            <w:t>Programme Design, Development and Approval, &lt;</w:t>
          </w:r>
        </w:hyperlink>
      </w:r>
      <w:r>
        <w:rPr>
          <w:u w:val="single" w:color="00847d"/>
          <w:rFonts w:ascii="ArialMT" w:hAnsi="ArialMT" w:eastAsia="ArialMT"/>
          <w:b w:val="0"/>
          <w:i w:val="0"/>
          <w:color w:val="00847E"/>
          <w:sz w:val="22"/>
        </w:rPr>
        <w:hyperlink r:id="rId16" w:history="1">
          <w:r>
            <w:rPr>
              <w:rStyle w:val="Hyperlink"/>
            </w:rPr>
            <w:t>https://</w:t>
          </w:r>
        </w:hyperlink>
      </w:r>
      <w:r>
        <w:rPr>
          <w:u w:val="single" w:color="00847d"/>
          <w:rFonts w:ascii="ArialMT" w:hAnsi="ArialMT" w:eastAsia="ArialMT"/>
          <w:b w:val="0"/>
          <w:i w:val="0"/>
          <w:color w:val="00847E"/>
          <w:sz w:val="22"/>
        </w:rPr>
        <w:hyperlink r:id="rId16" w:history="1">
          <w:r>
            <w:rPr>
              <w:rStyle w:val="Hyperlink"/>
            </w:rPr>
            <w:t>www.qaa.ac.uk/docs/qaa/quality-</w:t>
          </w:r>
        </w:hyperlink>
      </w:r>
      <w:r>
        <w:rPr>
          <w:u w:val="single" w:color="00847d"/>
          <w:rFonts w:ascii="ArialMT" w:hAnsi="ArialMT" w:eastAsia="ArialMT"/>
          <w:b w:val="0"/>
          <w:i w:val="0"/>
          <w:color w:val="00847E"/>
          <w:sz w:val="22"/>
        </w:rPr>
        <w:hyperlink r:id="rId16" w:history="1">
          <w:r>
            <w:rPr>
              <w:rStyle w:val="Hyperlink"/>
            </w:rPr>
            <w:t>code/quality-code-overview-2015.pdf?sfvrsn=d309</w:t>
          </w:r>
        </w:hyperlink>
      </w:r>
      <w:r>
        <w:rPr>
          <w:u w:val="single" w:color="00847d"/>
          <w:u w:val="single" w:color="00847d"/>
          <w:rFonts w:ascii="ArialMT" w:hAnsi="ArialMT" w:eastAsia="ArialMT"/>
          <w:b w:val="0"/>
          <w:i w:val="0"/>
          <w:color w:val="00847E"/>
          <w:sz w:val="22"/>
        </w:rPr>
        <w:hyperlink r:id="rId16" w:history="1">
          <w:r>
            <w:rPr>
              <w:rStyle w:val="Hyperlink"/>
            </w:rPr>
            <w:t>f781_6</w:t>
          </w:r>
        </w:hyperlink>
      </w:r>
      <w:r>
        <w:rPr>
          <w:u w:val="single" w:color="00847d"/>
          <w:rFonts w:ascii="ArialMT" w:hAnsi="ArialMT" w:eastAsia="ArialMT"/>
          <w:b w:val="0"/>
          <w:i w:val="0"/>
          <w:color w:val="000000"/>
          <w:sz w:val="22"/>
        </w:rPr>
        <w:hyperlink r:id="rId16" w:history="1">
          <w:r>
            <w:rPr>
              <w:rStyle w:val="Hyperlink"/>
            </w:rPr>
            <w:t xml:space="preserve">&gt;. </w:t>
          </w:r>
        </w:hyperlink>
      </w:r>
    </w:p>
    <w:p>
      <w:pPr>
        <w:autoSpaceDN w:val="0"/>
        <w:autoSpaceDE w:val="0"/>
        <w:widowControl/>
        <w:spacing w:line="286" w:lineRule="auto" w:before="7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hyperlink r:id="rId16" w:history="1">
          <w:r>
            <w:rPr>
              <w:rStyle w:val="Hyperlink"/>
            </w:rPr>
            <w:t>TEQSA welcomes the diversity of educational delivery acr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oss the sector and acknowledges </w:t>
      </w:r>
    </w:p>
    <w:p>
      <w:pPr>
        <w:autoSpaceDN w:val="0"/>
        <w:autoSpaceDE w:val="0"/>
        <w:widowControl/>
        <w:spacing w:line="283" w:lineRule="auto" w:before="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that its Guidance Notes may not encompass all of the circumstances seen in the sector. </w:t>
      </w:r>
    </w:p>
    <w:p>
      <w:pPr>
        <w:autoSpaceDN w:val="0"/>
        <w:autoSpaceDE w:val="0"/>
        <w:widowControl/>
        <w:spacing w:line="283" w:lineRule="auto" w:before="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TEQSA also recognises that the requirements of the HESF can be met in different ways </w:t>
      </w:r>
    </w:p>
    <w:p>
      <w:pPr>
        <w:autoSpaceDN w:val="0"/>
        <w:autoSpaceDE w:val="0"/>
        <w:widowControl/>
        <w:spacing w:line="286" w:lineRule="auto" w:before="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according to the circumstances of the provider. Provided the requirements of the HESF are </w:t>
      </w:r>
    </w:p>
    <w:p>
      <w:pPr>
        <w:autoSpaceDN w:val="0"/>
        <w:autoSpaceDE w:val="0"/>
        <w:widowControl/>
        <w:spacing w:line="286" w:lineRule="auto" w:before="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met, TEQSA will not prescribe how they are met. If in doubt, please consult your TEQSA </w:t>
      </w:r>
    </w:p>
    <w:p>
      <w:pPr>
        <w:autoSpaceDN w:val="0"/>
        <w:autoSpaceDE w:val="0"/>
        <w:widowControl/>
        <w:spacing w:line="283" w:lineRule="auto" w:before="0" w:after="584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case manager.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31"/>
        <w:gridCol w:w="3131"/>
        <w:gridCol w:w="3131"/>
      </w:tblGrid>
      <w:tr>
        <w:trPr>
          <w:trHeight w:hRule="exact" w:val="448"/>
        </w:trPr>
        <w:tc>
          <w:tcPr>
            <w:tcW w:type="dxa" w:w="1278"/>
            <w:tcBorders>
              <w:start w:sz="8.0" w:val="single" w:color="#989998"/>
              <w:top w:sz="8.0" w:val="single" w:color="#989998"/>
              <w:end w:sz="7.2000000000000455" w:val="single" w:color="#989998"/>
              <w:bottom w:sz="7.199999999999818" w:val="single" w:color="#989998"/>
            </w:tcBorders>
            <w:shd w:fill="003a4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78" w:after="0"/>
              <w:ind w:left="9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E7E6E6"/>
                <w:sz w:val="20"/>
              </w:rPr>
              <w:t xml:space="preserve">Version # </w:t>
            </w:r>
          </w:p>
        </w:tc>
        <w:tc>
          <w:tcPr>
            <w:tcW w:type="dxa" w:w="2124"/>
            <w:tcBorders>
              <w:start w:sz="7.2000000000000455" w:val="single" w:color="#989998"/>
              <w:top w:sz="8.0" w:val="single" w:color="#989998"/>
              <w:end w:sz="7.2000000000000455" w:val="single" w:color="#989998"/>
              <w:bottom w:sz="7.199999999999818" w:val="single" w:color="#989998"/>
            </w:tcBorders>
            <w:shd w:fill="003a4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78" w:after="0"/>
              <w:ind w:left="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E7E6E6"/>
                <w:sz w:val="20"/>
              </w:rPr>
              <w:t xml:space="preserve">Date </w:t>
            </w:r>
          </w:p>
        </w:tc>
        <w:tc>
          <w:tcPr>
            <w:tcW w:type="dxa" w:w="5954"/>
            <w:tcBorders>
              <w:start w:sz="7.2000000000000455" w:val="single" w:color="#989998"/>
              <w:top w:sz="8.0" w:val="single" w:color="#989998"/>
              <w:end w:sz="7.200000000000728" w:val="single" w:color="#989998"/>
              <w:bottom w:sz="7.199999999999818" w:val="single" w:color="#989998"/>
            </w:tcBorders>
            <w:shd w:fill="003a4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78" w:after="0"/>
              <w:ind w:left="9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E7E6E6"/>
                <w:sz w:val="20"/>
              </w:rPr>
              <w:t xml:space="preserve">Key changes </w:t>
            </w:r>
          </w:p>
        </w:tc>
      </w:tr>
      <w:tr>
        <w:trPr>
          <w:trHeight w:hRule="exact" w:val="428"/>
        </w:trPr>
        <w:tc>
          <w:tcPr>
            <w:tcW w:type="dxa" w:w="1278"/>
            <w:tcBorders>
              <w:start w:sz="8.0" w:val="single" w:color="#000000"/>
              <w:top w:sz="7.199999999999818" w:val="single" w:color="#989998"/>
              <w:end w:sz="7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4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1.0 </w:t>
            </w:r>
          </w:p>
        </w:tc>
        <w:tc>
          <w:tcPr>
            <w:tcW w:type="dxa" w:w="2124"/>
            <w:tcBorders>
              <w:start w:sz="7.2000000000000455" w:val="single" w:color="#000000"/>
              <w:top w:sz="7.199999999999818" w:val="single" w:color="#989998"/>
              <w:end w:sz="7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4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 April 2016 </w:t>
            </w:r>
          </w:p>
        </w:tc>
        <w:tc>
          <w:tcPr>
            <w:tcW w:type="dxa" w:w="5954"/>
            <w:tcBorders>
              <w:start w:sz="7.2000000000000455" w:val="single" w:color="#000000"/>
              <w:top w:sz="7.199999999999818" w:val="single" w:color="#989998"/>
              <w:end w:sz="7.20000000000072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4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Made available as beta version for consultation. </w:t>
            </w:r>
          </w:p>
        </w:tc>
      </w:tr>
      <w:tr>
        <w:trPr>
          <w:trHeight w:hRule="exact" w:val="1128"/>
        </w:trPr>
        <w:tc>
          <w:tcPr>
            <w:tcW w:type="dxa" w:w="1278"/>
            <w:tcBorders>
              <w:start w:sz="8.0" w:val="single" w:color="#000000"/>
              <w:top w:sz="3.199999999999818" w:val="single" w:color="#000000"/>
              <w:end w:sz="7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80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1.1 </w:t>
            </w:r>
          </w:p>
        </w:tc>
        <w:tc>
          <w:tcPr>
            <w:tcW w:type="dxa" w:w="2124"/>
            <w:tcBorders>
              <w:start w:sz="7.2000000000000455" w:val="single" w:color="#000000"/>
              <w:top w:sz="3.199999999999818" w:val="single" w:color="#000000"/>
              <w:end w:sz="7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80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 August 2016 </w:t>
            </w:r>
          </w:p>
        </w:tc>
        <w:tc>
          <w:tcPr>
            <w:tcW w:type="dxa" w:w="5954"/>
            <w:tcBorders>
              <w:start w:sz="7.2000000000000455" w:val="single" w:color="#000000"/>
              <w:top w:sz="3.199999999999818" w:val="single" w:color="#000000"/>
              <w:end w:sz="7.20000000000072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80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Incorporated feedback from consultation, including clarification of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what TEQSA will look for, elaboration of learning outcomes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assessed at unit level, and an addition to the resources and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references. </w:t>
            </w:r>
          </w:p>
        </w:tc>
      </w:tr>
      <w:tr>
        <w:trPr>
          <w:trHeight w:hRule="exact" w:val="900"/>
        </w:trPr>
        <w:tc>
          <w:tcPr>
            <w:tcW w:type="dxa" w:w="1278"/>
            <w:tcBorders>
              <w:start w:sz="8.0" w:val="single" w:color="#000000"/>
              <w:top w:sz="3.199999999999818" w:val="single" w:color="#000000"/>
              <w:end w:sz="7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82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1.2 </w:t>
            </w:r>
          </w:p>
        </w:tc>
        <w:tc>
          <w:tcPr>
            <w:tcW w:type="dxa" w:w="2124"/>
            <w:tcBorders>
              <w:start w:sz="7.2000000000000455" w:val="single" w:color="#000000"/>
              <w:top w:sz="3.199999999999818" w:val="single" w:color="#000000"/>
              <w:end w:sz="7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82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 September 2016 </w:t>
            </w:r>
          </w:p>
        </w:tc>
        <w:tc>
          <w:tcPr>
            <w:tcW w:type="dxa" w:w="5954"/>
            <w:tcBorders>
              <w:start w:sz="7.2000000000000455" w:val="single" w:color="#000000"/>
              <w:top w:sz="3.199999999999818" w:val="single" w:color="#000000"/>
              <w:end w:sz="7.20000000000072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82" w:after="0"/>
              <w:ind w:left="90" w:right="86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Addition of additional reference Office for Learning and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hyperlink r:id="rId17" w:history="1">
                <w:r>
                  <w:rPr>
                    <w:rStyle w:val="Hyperlink"/>
                  </w:rPr>
                  <w:t xml:space="preserve">eaching, </w:t>
                </w:r>
              </w:hyperlink>
            </w: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hyperlink r:id="rId17" w:history="1">
                <w:r>
                  <w:rPr>
                    <w:rStyle w:val="Hyperlink"/>
                  </w:rPr>
                  <w:t>Assuring Learning</w:t>
                </w:r>
              </w:hyperlink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hyperlink r:id="rId17" w:history="1">
                <w:r>
                  <w:rPr>
                    <w:rStyle w:val="Hyperlink"/>
                  </w:rPr>
                  <w:t xml:space="preserve">, </w:t>
                </w:r>
              </w:hyperlink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&lt;</w:t>
            </w:r>
            <w:r>
              <w:rPr>
                <w:u w:val="single" w:color="00847d"/>
                <w:rFonts w:ascii="ArialMT" w:hAnsi="ArialMT" w:eastAsia="ArialMT"/>
                <w:b w:val="0"/>
                <w:i w:val="0"/>
                <w:color w:val="00847E"/>
                <w:sz w:val="20"/>
              </w:rPr>
              <w:hyperlink r:id="rId17" w:history="1">
                <w:r>
                  <w:rPr>
                    <w:rStyle w:val="Hyperlink"/>
                  </w:rPr>
                  <w:t>http://www.assuringlearning.com/</w:t>
                </w:r>
              </w:hyperlink>
            </w:r>
            <w:r>
              <w:rPr>
                <w:rFonts w:ascii="ArialMT" w:hAnsi="ArialMT" w:eastAsia="ArialMT"/>
                <w:b w:val="0"/>
                <w:i w:val="0"/>
                <w:color w:val="1F497D"/>
                <w:sz w:val="20"/>
              </w:rPr>
              <w:t>&gt;</w:t>
            </w:r>
          </w:p>
        </w:tc>
      </w:tr>
      <w:tr>
        <w:trPr>
          <w:trHeight w:hRule="exact" w:val="440"/>
        </w:trPr>
        <w:tc>
          <w:tcPr>
            <w:tcW w:type="dxa" w:w="1278"/>
            <w:tcBorders>
              <w:start w:sz="8.0" w:val="single" w:color="#000000"/>
              <w:top w:sz="3.199999999999818" w:val="single" w:color="#000000"/>
              <w:end w:sz="7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82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1.3 </w:t>
            </w:r>
          </w:p>
        </w:tc>
        <w:tc>
          <w:tcPr>
            <w:tcW w:type="dxa" w:w="2124"/>
            <w:tcBorders>
              <w:start w:sz="7.2000000000000455" w:val="single" w:color="#000000"/>
              <w:top w:sz="3.199999999999818" w:val="single" w:color="#000000"/>
              <w:end w:sz="7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82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 October 2017 </w:t>
            </w:r>
          </w:p>
        </w:tc>
        <w:tc>
          <w:tcPr>
            <w:tcW w:type="dxa" w:w="5954"/>
            <w:tcBorders>
              <w:start w:sz="7.2000000000000455" w:val="single" w:color="#000000"/>
              <w:top w:sz="3.199999999999818" w:val="single" w:color="#000000"/>
              <w:end w:sz="7.20000000000072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82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Addition to ‘What will TEQSA look for?” text box. </w:t>
            </w:r>
          </w:p>
        </w:tc>
      </w:tr>
    </w:tbl>
    <w:p>
      <w:pPr>
        <w:autoSpaceDN w:val="0"/>
        <w:autoSpaceDE w:val="0"/>
        <w:widowControl/>
        <w:spacing w:line="286" w:lineRule="auto" w:before="3154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3"/>
        </w:rPr>
        <w:t>2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This document sets out expectations for providers of UK higher education. </w:t>
      </w:r>
    </w:p>
    <w:p>
      <w:pPr>
        <w:autoSpaceDN w:val="0"/>
        <w:autoSpaceDE w:val="0"/>
        <w:widowControl/>
        <w:spacing w:line="300" w:lineRule="auto" w:before="344" w:after="0"/>
        <w:ind w:left="0" w:right="360" w:firstLine="0"/>
        <w:jc w:val="right"/>
      </w:pPr>
      <w:r>
        <w:rPr>
          <w:rFonts w:ascii="ArialMT" w:hAnsi="ArialMT" w:eastAsia="ArialMT"/>
          <w:b w:val="0"/>
          <w:i w:val="0"/>
          <w:color w:val="00847E"/>
          <w:sz w:val="20"/>
        </w:rPr>
        <w:t xml:space="preserve">Page </w:t>
      </w:r>
      <w:r>
        <w:rPr>
          <w:rFonts w:ascii="Arial" w:hAnsi="Arial" w:eastAsia="Arial"/>
          <w:b/>
          <w:i w:val="0"/>
          <w:color w:val="00847E"/>
          <w:sz w:val="20"/>
        </w:rPr>
        <w:t>5</w:t>
      </w:r>
      <w:r>
        <w:rPr>
          <w:rFonts w:ascii="ArialMT" w:hAnsi="ArialMT" w:eastAsia="ArialMT"/>
          <w:b w:val="0"/>
          <w:i w:val="0"/>
          <w:color w:val="00847E"/>
          <w:sz w:val="20"/>
        </w:rPr>
        <w:t xml:space="preserve"> of </w:t>
      </w:r>
      <w:r>
        <w:rPr>
          <w:rFonts w:ascii="Arial" w:hAnsi="Arial" w:eastAsia="Arial"/>
          <w:b/>
          <w:i w:val="0"/>
          <w:color w:val="00847E"/>
          <w:sz w:val="20"/>
        </w:rPr>
        <w:t>5</w:t>
      </w:r>
    </w:p>
    <w:sectPr w:rsidR="00FC693F" w:rsidRPr="0006063C" w:rsidSect="00034616">
      <w:type w:val="continuous"/>
      <w:pgSz w:w="11906" w:h="16838"/>
      <w:pgMar w:top="282" w:right="1082" w:bottom="394" w:left="14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www.aqf.edu.au/" TargetMode="External"/><Relationship Id="rId12" Type="http://schemas.openxmlformats.org/officeDocument/2006/relationships/hyperlink" Target="http://flipcurric.edu.au/" TargetMode="External"/><Relationship Id="rId13" Type="http://schemas.openxmlformats.org/officeDocument/2006/relationships/hyperlink" Target="https://ltr.edu.au/resources/Oliver_Report_2015.pdf" TargetMode="External"/><Relationship Id="rId14" Type="http://schemas.openxmlformats.org/officeDocument/2006/relationships/hyperlink" Target="https://ltr.edu.au/resources/SP13-3227_Freeman%20and%20Ewan_GPR_Assuring%20Learning%20Outcomes%20and%20Standards_2014.pdf" TargetMode="External"/><Relationship Id="rId15" Type="http://schemas.openxmlformats.org/officeDocument/2006/relationships/hyperlink" Target="https://www.voced.edu.au/content/ngv%3A64397" TargetMode="External"/><Relationship Id="rId16" Type="http://schemas.openxmlformats.org/officeDocument/2006/relationships/hyperlink" Target="https://www.qaa.ac.uk/docs/qaa/quality-code/quality-code-overview-2015.pdf?sfvrsn=d309f781_6" TargetMode="External"/><Relationship Id="rId17" Type="http://schemas.openxmlformats.org/officeDocument/2006/relationships/hyperlink" Target="http://www.assuringlearni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