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120" w:after="40"/>
      </w:pPr>
      <w:r>
        <w:rPr>
          <w:b/>
          <w:color w:val="2F6E5B"/>
          <w:sz w:val="21"/>
        </w:rPr>
        <w:t>What do we need scenarios for?</w:t>
      </w:r>
    </w:p>
    <w:p>
      <w:r>
        <w:rPr>
          <w:i w:val="0"/>
          <w:sz w:val="19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 only. Matched scenario corridors turn every indicator into a quantified benchmark — is solar deployment, renovation, or the cattle herd inside the corridor that EU-climate-neutrality pathways require? — and keep our gap assessments evidence-based as policy and model vintages evolve.</w:t>
      </w:r>
    </w:p>
    <w:p>
      <w:pPr>
        <w:spacing w:before="120" w:after="40"/>
      </w:pPr>
      <w:r>
        <w:rPr>
          <w:b/>
          <w:color w:val="2F6E5B"/>
          <w:sz w:val="21"/>
        </w:rPr>
        <w:t>Which options do we have to acquire them?</w:t>
      </w:r>
    </w:p>
    <w:p>
      <w:pPr>
        <w:pStyle w:val="ListBullet"/>
        <w:spacing w:after="30"/>
      </w:pPr>
      <w:r>
        <w:rPr>
          <w:b/>
          <w:sz w:val="19"/>
        </w:rPr>
        <w:t xml:space="preserve">Reuse existing databases — </w:t>
      </w:r>
      <w:r>
        <w:rPr>
          <w:sz w:val="19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30"/>
      </w:pPr>
      <w:r>
        <w:rPr>
          <w:b/>
          <w:sz w:val="19"/>
        </w:rPr>
        <w:t xml:space="preserve">Commission modelling — </w:t>
      </w:r>
      <w:r>
        <w:rPr>
          <w:sz w:val="19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30"/>
      </w:pPr>
      <w:r>
        <w:rPr>
          <w:b/>
          <w:sz w:val="19"/>
        </w:rPr>
        <w:t xml:space="preserve">Open submission call (proposed) — </w:t>
      </w:r>
      <w:r>
        <w:rPr>
          <w:sz w:val="19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120" w:after="40"/>
      </w:pPr>
      <w:r>
        <w:rPr>
          <w:b/>
          <w:color w:val="2F6E5B"/>
          <w:sz w:val="21"/>
        </w:rPr>
        <w:t>What would the workflow be on our side?</w:t>
      </w:r>
    </w:p>
    <w:p>
      <w:pPr>
        <w:pStyle w:val="ListBullet"/>
        <w:spacing w:after="30"/>
      </w:pPr>
      <w:r>
        <w:rPr>
          <w:b/>
          <w:sz w:val="19"/>
        </w:rPr>
        <w:t xml:space="preserve">Submission infrastructure — </w:t>
      </w:r>
      <w:r>
        <w:rPr>
          <w:sz w:val="19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30"/>
      </w:pPr>
      <w:r>
        <w:rPr>
          <w:b/>
          <w:sz w:val="19"/>
        </w:rPr>
        <w:t xml:space="preserve">Automated matching — </w:t>
      </w:r>
      <w:r>
        <w:rPr>
          <w:sz w:val="19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30"/>
      </w:pPr>
      <w:r>
        <w:rPr>
          <w:b/>
          <w:sz w:val="19"/>
        </w:rPr>
        <w:t xml:space="preserve">Filtering &amp; analysis — </w:t>
      </w:r>
      <w:r>
        <w:rPr>
          <w:sz w:val="19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30"/>
      </w:pPr>
      <w:r>
        <w:rPr>
          <w:b/>
          <w:sz w:val="19"/>
        </w:rPr>
        <w:t xml:space="preserve">Distribution — </w:t>
      </w:r>
      <w:r>
        <w:rPr>
          <w:sz w:val="19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120" w:after="40"/>
      </w:pPr>
      <w:r>
        <w:rPr>
          <w:b/>
          <w:color w:val="2F6E5B"/>
          <w:sz w:val="21"/>
        </w:rPr>
        <w:t>Benefits</w:t>
      </w:r>
    </w:p>
    <w:p>
      <w:pPr>
        <w:pStyle w:val="ListBullet"/>
        <w:spacing w:after="30"/>
      </w:pPr>
      <w:r>
        <w:rPr>
          <w:b/>
          <w:sz w:val="19"/>
        </w:rPr>
        <w:t xml:space="preserve">Quantified monitoring — </w:t>
      </w:r>
      <w:r>
        <w:rPr>
          <w:sz w:val="19"/>
        </w:rPr>
        <w:t>Every indicator gains a scenario corridor; assessments shift from directional to quantitative, continuously refreshable.</w:t>
      </w:r>
    </w:p>
    <w:p>
      <w:pPr>
        <w:pStyle w:val="ListBullet"/>
        <w:spacing w:after="30"/>
      </w:pPr>
      <w:r>
        <w:rPr>
          <w:b/>
          <w:sz w:val="19"/>
        </w:rPr>
        <w:t xml:space="preserve">Broader, fresher evidence — </w:t>
      </w:r>
      <w:r>
        <w:rPr>
          <w:sz w:val="19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30"/>
      </w:pPr>
      <w:r>
        <w:rPr>
          <w:b/>
          <w:sz w:val="19"/>
        </w:rPr>
        <w:t xml:space="preserve">Low marginal cost — </w:t>
      </w:r>
      <w:r>
        <w:rPr>
          <w:sz w:val="19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30"/>
      </w:pPr>
      <w:r>
        <w:rPr>
          <w:b/>
          <w:sz w:val="19"/>
        </w:rPr>
        <w:t xml:space="preserve">Transparency — </w:t>
      </w:r>
      <w:r>
        <w:rPr>
          <w:sz w:val="19"/>
        </w:rPr>
        <w:t>A documented, open call with published criteria strengthens the board's independence compared with selecting scenarios ad hoc.</w:t>
      </w:r>
    </w:p>
    <w:p>
      <w:pPr>
        <w:spacing w:before="120" w:after="40"/>
      </w:pPr>
      <w:r>
        <w:rPr>
          <w:b/>
          <w:color w:val="2F6E5B"/>
          <w:sz w:val="21"/>
        </w:rPr>
        <w:t>Risks — and why they are manageable</w:t>
      </w:r>
    </w:p>
    <w:p>
      <w:pPr>
        <w:pStyle w:val="ListBullet"/>
        <w:spacing w:after="30"/>
      </w:pPr>
      <w:r>
        <w:rPr>
          <w:b/>
          <w:sz w:val="19"/>
        </w:rPr>
        <w:t xml:space="preserve">Low or skewed response — </w:t>
      </w:r>
      <w:r>
        <w:rPr>
          <w:sz w:val="19"/>
        </w:rPr>
        <w:t>The central risk. Mitigated by the boards'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30"/>
      </w:pPr>
      <w:r>
        <w:rPr>
          <w:b/>
          <w:sz w:val="19"/>
        </w:rPr>
        <w:t xml:space="preserve">Quality and comparability — </w:t>
      </w:r>
      <w:r>
        <w:rPr>
          <w:sz w:val="19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30"/>
      </w:pPr>
      <w:r>
        <w:rPr>
          <w:b/>
          <w:sz w:val="19"/>
        </w:rPr>
        <w:t xml:space="preserve">Coverage gaps — </w:t>
      </w:r>
      <w:r>
        <w:rPr>
          <w:sz w:val="19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30"/>
      </w:pPr>
      <w:r>
        <w:rPr>
          <w:b/>
          <w:sz w:val="19"/>
        </w:rPr>
        <w:t xml:space="preserve">Process cost — </w:t>
      </w:r>
      <w:r>
        <w:rPr>
          <w:sz w:val="19"/>
        </w:rPr>
        <w:t>Concentrated in distribution and follow-up rather than in engineering — a bounded, plannable effort for the secretariat.</w:t>
      </w:r>
    </w:p>
    <w:p>
      <w:pPr>
        <w:spacing w:before="120" w:after="40"/>
      </w:pPr>
      <w:r>
        <w:rPr>
          <w:b/>
          <w:color w:val="2F6E5B"/>
          <w:sz w:val="21"/>
        </w:rPr>
        <w:t>Bottom line</w:t>
      </w:r>
    </w:p>
    <w:p>
      <w:r>
        <w:rPr>
          <w:i w:val="0"/>
          <w:sz w:val="19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794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