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 Two sides of the same coin</w:t>
      </w:r>
    </w:p>
    <w:p>
      <w:pPr>
        <w:pStyle w:val="ListBullet"/>
        <w:spacing w:after="20"/>
      </w:pPr>
      <w:r>
        <w:rPr>
          <w:b/>
          <w:sz w:val="18"/>
        </w:rPr>
        <w:t xml:space="preserve">Checking the benchmarks, adding context (Fig. 1a–b) — </w:t>
      </w:r>
      <w:r>
        <w:rPr>
          <w:sz w:val="18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trends, Member State WEM/WAM projections and EC benchmarks only. Matched scenario corridors turn every indicator into a quantified benchmark — is solar deployment, renovation, or the cattle herd inside the corridor that EU-climate-neutrality pathways require? — allow us to assess whether EC scenarios are too optimistic or too pessimistic against the broader scientific landscape, and keep our gap assessments evidence-based as policy and model vintages evolve.</w:t>
      </w:r>
    </w:p>
    <w:p>
      <w:pPr>
        <w:pStyle w:val="ListBullet"/>
        <w:spacing w:after="20"/>
      </w:pPr>
      <w:r>
        <w:rPr>
          <w:b/>
          <w:sz w:val="18"/>
        </w:rPr>
        <w:t xml:space="preserve">Understanding the inherent dynamics of the transition (Fig. 1c) — </w:t>
      </w:r>
      <w:r>
        <w:rPr>
          <w:sz w:val="18"/>
        </w:rPr>
        <w:t>Meeting the 2030 target is not the same as being on track for 2050. Sectors bank the easy gains first — in energy, the low-hanging fruit of mature renewables roll-out. What remains is the hard core: structural and technological constraints (limited availability of CCS, hydrogen, critical materials, infrastructure) and major societal challenges (diets, consumption, demand). A call that includes sectoral modelling outputs builds a bottom-up view of these system dynamics, so we can see where we really stand beyond the headline GHG indicator — reading between the lines of apparent target compliance.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1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1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Current vs new assessment logic (schematic). a, Current logic: official projections and EC benchmarks only. b–d, the new logic the scenario call enables. b, The submitted ensemble (band: range; line: median) makes official projections and EC benchmarks testable. c, The same pathway split into sectors, scaled to today's approximate EU27 emission shares (EEA inventory); the magnifiers mark the sectors zoomed below. d1–d3, what the magnifiers reveal — one sectoral-model output per sector: the industry electrolyser capacity gap, transport biofuel demand vs sustainable biomass availability, and buildings heat-pump roll-out slowed by the old, unrenovated stock.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(today)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(checking &amp; context)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landscape.</w:t>
      </w:r>
    </w:p>
    <w:p>
      <w:pPr>
        <w:pStyle w:val="ListBullet"/>
        <w:spacing w:after="20"/>
      </w:pPr>
      <w:r>
        <w:rPr>
          <w:b/>
          <w:sz w:val="18"/>
        </w:rPr>
        <w:t xml:space="preserve">Panel c (the sector split — part of the new logic) — </w:t>
      </w:r>
      <w:r>
        <w:rPr>
          <w:sz w:val="18"/>
        </w:rPr>
        <w:t>The headline pathway is the sum of very different sector transitions. Splitting it by today's actual emission shares (energy supply ~26%, transport ~24%, industry ~20%, buildings ~13%, agriculture ~11%, waste &amp; other ~6%) shows the composition of remaining emissions shifting over time — energy decarbonises fastest, agriculture and transport linger. The magnifying glasses mark where we zoom in.</w:t>
      </w:r>
    </w:p>
    <w:p>
      <w:pPr>
        <w:pStyle w:val="ListBullet"/>
        <w:spacing w:after="20"/>
      </w:pPr>
      <w:r>
        <w:rPr>
          <w:b/>
          <w:sz w:val="18"/>
        </w:rPr>
        <w:t xml:space="preserve">Panels d1–d3 (under the magnifier — also part of the new logic) — </w:t>
      </w:r>
      <w:r>
        <w:rPr>
          <w:sz w:val="18"/>
        </w:rPr>
        <w:t>One example per sector of the detailed outputs we want submitted: industry — the gap between the current electrolyser deployment trend and what pathways require; transport — biofuel demand running into the sustainable biomass supply that land-use models can certify, with competition across sectors; buildings — the heat-pump roll-out required versus a trend slowed by the old, unrenovated stock. This is the 'reading between the lines': each panel turns an invisible structural constraint into a measurable gap.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 monitoring — </w:t>
      </w:r>
      <w:r>
        <w:rPr>
          <w:sz w:val="18"/>
        </w:rPr>
        <w:t>Every indicator gains a scenario corridor; assessments shift from directional to quantitative, continuously refreshable.</w:t>
      </w:r>
    </w:p>
    <w:p>
      <w:pPr>
        <w:pStyle w:val="ListBullet"/>
        <w:spacing w:after="20"/>
      </w:pPr>
      <w:r>
        <w:rPr>
          <w:b/>
          <w:sz w:val="18"/>
        </w:rPr>
        <w:t xml:space="preserve">Transition dynamics, bottom-up — </w:t>
      </w:r>
      <w:r>
        <w:rPr>
          <w:sz w:val="18"/>
        </w:rPr>
        <w:t>Sectoral submissions show how much of the remaining effort still rests on mature-technology roll-out versus hard structural and societal change — so early target-hitting cannot hide a hard residual.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— </w:t>
      </w:r>
      <w:r>
        <w:rPr>
          <w:sz w:val="18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20"/>
      </w:pPr>
      <w:r>
        <w:rPr>
          <w:b/>
          <w:sz w:val="18"/>
        </w:rPr>
        <w:t xml:space="preserve">Low marginal cost — </w:t>
      </w:r>
      <w:r>
        <w:rPr>
          <w:sz w:val="18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documented, open call with published criteria strengthens the board's independence compared with selecting scenarios ad hoc.</w:t>
      </w:r>
    </w:p>
    <w:p>
      <w:pPr>
        <w:spacing w:before="80" w:after="20"/>
      </w:pPr>
      <w:r>
        <w:rPr>
          <w:b/>
          <w:color w:val="2F6E5B"/>
          <w:sz w:val="20"/>
        </w:rPr>
        <w:t>Risks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risk. Mitigated by the board's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20"/>
      </w:pPr>
      <w:r>
        <w:rPr>
          <w:b/>
          <w:sz w:val="18"/>
        </w:rPr>
        <w:t xml:space="preserve">Process cost — </w:t>
      </w:r>
      <w:r>
        <w:rPr>
          <w:sz w:val="18"/>
        </w:rPr>
        <w:t>Concentrated in distribution and follow-up rather than in engineering — a bounded, plannable effort for the secretariat.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