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b/>
          <w:color w:val="2F6E5B"/>
          <w:sz w:val="30"/>
        </w:rPr>
        <w:t>An open scenario submission call for IAM modellers</w:t>
      </w:r>
    </w:p>
    <w:p>
      <w:pPr>
        <w:spacing w:after="120"/>
      </w:pPr>
      <w:r>
        <w:rPr>
          <w:i/>
          <w:color w:val="555B63"/>
          <w:sz w:val="18"/>
        </w:rPr>
        <w:t>Our thinking on scenarios: what we need them for, how to acquire them, the workflow on our side, and the risks — ESABCC MethodHub, draft for discussion, 12 June 2026</w:t>
      </w:r>
    </w:p>
    <w:p>
      <w:pPr>
        <w:spacing w:before="80" w:after="20"/>
      </w:pPr>
      <w:r>
        <w:rPr>
          <w:b/>
          <w:color w:val="2F6E5B"/>
          <w:sz w:val="20"/>
        </w:rPr>
        <w:t>What do we need scenarios for? Two sides of the same coin</w:t>
      </w:r>
    </w:p>
    <w:p>
      <w:pPr>
        <w:pStyle w:val="ListBullet"/>
        <w:spacing w:after="20"/>
      </w:pPr>
      <w:r>
        <w:rPr>
          <w:b/>
          <w:sz w:val="18"/>
        </w:rPr>
        <w:t xml:space="preserve">Checking the benchmarks, adding context (Fig. 1a–b) — </w:t>
      </w:r>
      <w:r>
        <w:rPr>
          <w:sz w:val="18"/>
        </w:rPr>
        <w:t>Our monitoring frameworks tell us what to track but not how fast it must move. The advisory board's sector flow charts (Figures 12–64 of 'Towards EU climate neutrality') carry ~40 progress indicators; today these are read against observed trends, Member State WEM/WAM projections and EC benchmarks only. Matched scenario corridors turn every indicator into a quantified benchmark — is solar deployment, renovation, or the cattle herd inside the corridor that EU-climate-neutrality pathways require? — allow us to assess whether EC scenarios are too optimistic or too pessimistic against the broader scientific landscape, and keep our gap assessments evidence-based as policy and model vintages evolve.</w:t>
      </w:r>
    </w:p>
    <w:p>
      <w:pPr>
        <w:pStyle w:val="ListBullet"/>
        <w:spacing w:after="20"/>
      </w:pPr>
      <w:r>
        <w:rPr>
          <w:b/>
          <w:sz w:val="18"/>
        </w:rPr>
        <w:t xml:space="preserve">Understanding the inherent dynamics of the transition (Fig. 1c) — </w:t>
      </w:r>
      <w:r>
        <w:rPr>
          <w:sz w:val="18"/>
        </w:rPr>
        <w:t>Meeting the 2030 target is not the same as being on track for 2050. Sectors bank the easy gains first — in energy, the low-hanging fruit of mature renewables roll-out. What remains is the hard core: structural and technological constraints (limited availability of CCS, hydrogen, critical materials, infrastructure) and major societal challenges (diets, consumption, demand). A call that includes sectoral modelling outputs builds a bottom-up view of these system dynamics, so we can see where we really stand beyond the headline GHG indicator — reading between the lines of apparent target compliance.</w:t>
      </w:r>
    </w:p>
    <w:p>
      <w:pPr>
        <w:spacing w:before="80" w:after="20"/>
      </w:pPr>
      <w:r>
        <w:rPr>
          <w:b/>
          <w:color w:val="2F6E5B"/>
          <w:sz w:val="20"/>
        </w:rPr>
        <w:t>Which options do we have to acquire them?</w:t>
      </w:r>
    </w:p>
    <w:p>
      <w:pPr>
        <w:pStyle w:val="ListBullet"/>
        <w:spacing w:after="20"/>
      </w:pPr>
      <w:r>
        <w:rPr>
          <w:b/>
          <w:sz w:val="18"/>
        </w:rPr>
        <w:t xml:space="preserve">Reuse existing databases — </w:t>
      </w:r>
      <w:r>
        <w:rPr>
          <w:sz w:val="18"/>
        </w:rPr>
        <w:t>AR6 / ECEMF / Scenario Explorer snapshots. Cheap, but vintages age, EU27 sectoral detail is thin, and we cannot ask for missing variables.</w:t>
      </w:r>
    </w:p>
    <w:p>
      <w:pPr>
        <w:pStyle w:val="ListBullet"/>
        <w:spacing w:after="20"/>
      </w:pPr>
      <w:r>
        <w:rPr>
          <w:b/>
          <w:sz w:val="18"/>
        </w:rPr>
        <w:t xml:space="preserve">Commission modelling — </w:t>
      </w:r>
      <w:r>
        <w:rPr>
          <w:sz w:val="18"/>
        </w:rPr>
        <w:t>Full control over scenario design, but slow, costly, and yields few models — weak ensembles and a perception of hand-picked evidence.</w:t>
      </w:r>
    </w:p>
    <w:p>
      <w:pPr>
        <w:pStyle w:val="ListBullet"/>
        <w:spacing w:after="20"/>
      </w:pPr>
      <w:r>
        <w:rPr>
          <w:b/>
          <w:sz w:val="18"/>
        </w:rPr>
        <w:t xml:space="preserve">Open submission call (proposed) — </w:t>
      </w:r>
      <w:r>
        <w:rPr>
          <w:sz w:val="18"/>
        </w:rPr>
        <w:t>Invite IAM and sectoral modelling teams to submit economy-wide or sectoral EU scenarios directly to the MethodHub. Best ensemble breadth and freshness at the lowest cost; the other two options remain available as fallback and complement.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898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-call-logic-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9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555B63"/>
          <w:sz w:val="15"/>
        </w:rPr>
        <w:t>Figure 1 | The two purposes of the call (schematic). a, Current assessment logic. b, The submitted ensemble (band: range; line: median) makes official projections and EC benchmarks testable. c, Sectoral submissions reveal the changing composition of the remaining effort — from mature-technology roll-out to structural and societal change.</w:t>
      </w:r>
    </w:p>
    <w:p>
      <w:pPr>
        <w:spacing w:before="80" w:after="20"/>
      </w:pPr>
      <w:r>
        <w:rPr>
          <w:b/>
          <w:color w:val="2F6E5B"/>
          <w:sz w:val="20"/>
        </w:rPr>
        <w:t>What the figure shows</w:t>
      </w:r>
    </w:p>
    <w:p>
      <w:pPr>
        <w:pStyle w:val="ListBullet"/>
        <w:spacing w:after="20"/>
      </w:pPr>
      <w:r>
        <w:rPr>
          <w:b/>
          <w:sz w:val="18"/>
        </w:rPr>
        <w:t xml:space="preserve">Panel a (today) — </w:t>
      </w:r>
      <w:r>
        <w:rPr>
          <w:sz w:val="18"/>
        </w:rPr>
        <w:t>Both forward-looking elements come from official sources only: the Member State WEM/WAM projections (reported under the Governance Regulation, aggregated by the EEA) answer 'will we meet the benchmark under current and planned policies?', and the EC-scenario benchmarks set the goal posts. There is no independent scientific check and no uncertainty range around either.</w:t>
      </w:r>
    </w:p>
    <w:p>
      <w:pPr>
        <w:pStyle w:val="ListBullet"/>
        <w:spacing w:after="20"/>
      </w:pPr>
      <w:r>
        <w:rPr>
          <w:b/>
          <w:sz w:val="18"/>
        </w:rPr>
        <w:t xml:space="preserve">Panel b (checking &amp; context) — </w:t>
      </w:r>
      <w:r>
        <w:rPr>
          <w:sz w:val="18"/>
        </w:rPr>
        <w:t>Both elements are kept, but the submitted scenario ensemble is added alongside: the shaded band is the range across all submitted runs, the solid line their median. Where the official projections and benchmarks sit relative to the band shows at a glance whether they are optimistic or conservative against the scientific landscape.</w:t>
      </w:r>
    </w:p>
    <w:p>
      <w:pPr>
        <w:pStyle w:val="ListBullet"/>
        <w:spacing w:after="20"/>
      </w:pPr>
      <w:r>
        <w:rPr>
          <w:b/>
          <w:sz w:val="18"/>
        </w:rPr>
        <w:t xml:space="preserve">Panel c (transition dynamics) — </w:t>
      </w:r>
      <w:r>
        <w:rPr>
          <w:sz w:val="18"/>
        </w:rPr>
        <w:t>Hitting a near-term target says little about the road beyond it. The gap between the current-effort baseline and the net-zero pathway is small in 2030 and closed mostly by mature-technology roll-out — the low-hanging fruit, which delivers early and then saturates. The much larger 2050 gap must come from the hard core: structural and societal change (technology availability limits, infrastructure, diets, consumption, demand). Sectoral-model submissions resolve this split per sector, bottom-up, beyond the GHG headline.</w:t>
      </w:r>
    </w:p>
    <w:p>
      <w:pPr>
        <w:spacing w:before="80" w:after="20"/>
      </w:pPr>
      <w:r>
        <w:rPr>
          <w:b/>
          <w:color w:val="2F6E5B"/>
          <w:sz w:val="20"/>
        </w:rPr>
        <w:t>What would the workflow be on our side?</w:t>
      </w:r>
    </w:p>
    <w:p>
      <w:pPr>
        <w:pStyle w:val="ListBullet"/>
        <w:spacing w:after="20"/>
      </w:pPr>
      <w:r>
        <w:rPr>
          <w:b/>
          <w:sz w:val="18"/>
        </w:rPr>
        <w:t xml:space="preserve">Submission infrastructure — </w:t>
      </w:r>
      <w:r>
        <w:rPr>
          <w:sz w:val="18"/>
        </w:rPr>
        <w:t>Built on the MethodHub, which already bundles a Scenario Explorer snapshot (63 EU27 runs from 9 model versions) and the indicator database. Teams submit IAMC-template files through a portal; no new platform is needed.</w:t>
      </w:r>
    </w:p>
    <w:p>
      <w:pPr>
        <w:pStyle w:val="ListBullet"/>
        <w:spacing w:after="20"/>
      </w:pPr>
      <w:r>
        <w:rPr>
          <w:b/>
          <w:sz w:val="18"/>
        </w:rPr>
        <w:t xml:space="preserve">Automated matching — </w:t>
      </w:r>
      <w:r>
        <w:rPr>
          <w:sz w:val="18"/>
        </w:rPr>
        <w:t>Each submitted run is resolved against the indicator framework — a prototype flow chart ('Scenario call — IAM-matched indicators') already maps every indicator of the default board to an IAMC variable and submission track (economy-wide / sectoral / new variable requested).</w:t>
      </w:r>
    </w:p>
    <w:p>
      <w:pPr>
        <w:pStyle w:val="ListBullet"/>
        <w:spacing w:after="20"/>
      </w:pPr>
      <w:r>
        <w:rPr>
          <w:b/>
          <w:sz w:val="18"/>
        </w:rPr>
        <w:t xml:space="preserve">Filtering &amp; analysis — </w:t>
      </w:r>
      <w:r>
        <w:rPr>
          <w:sz w:val="18"/>
        </w:rPr>
        <w:t>A fully-fledged vetting, filtering and corridor-analysis toolset is built into the MethodHub pipeline (harmonisation diagnostics as used for the existing snapshot), so screening submissions is largely automatic.</w:t>
      </w:r>
    </w:p>
    <w:p>
      <w:pPr>
        <w:pStyle w:val="ListBullet"/>
        <w:spacing w:after="20"/>
      </w:pPr>
      <w:r>
        <w:rPr>
          <w:b/>
          <w:sz w:val="18"/>
        </w:rPr>
        <w:t xml:space="preserve">Distribution — </w:t>
      </w:r>
      <w:r>
        <w:rPr>
          <w:sz w:val="18"/>
        </w:rPr>
        <w:t>The main genuine effort. With two leading IAM modellers on the board — Keywan Riahi (MESSAGEix-GLOBIOM, IIASA) and Detlef van Vuuren (IMAGE, PBL) — the call travels through the IAMC, ECEMF and NAVIGATE/ENGAGE networks at essentially no cost and with high credibility.</w:t>
      </w:r>
    </w:p>
    <w:p>
      <w:pPr>
        <w:spacing w:before="80" w:after="20"/>
      </w:pPr>
      <w:r>
        <w:rPr>
          <w:b/>
          <w:color w:val="2F6E5B"/>
          <w:sz w:val="20"/>
        </w:rPr>
        <w:t>Benefits</w:t>
      </w:r>
    </w:p>
    <w:p>
      <w:pPr>
        <w:pStyle w:val="ListBullet"/>
        <w:spacing w:after="20"/>
      </w:pPr>
      <w:r>
        <w:rPr>
          <w:b/>
          <w:sz w:val="18"/>
        </w:rPr>
        <w:t xml:space="preserve">Quantified monitoring — </w:t>
      </w:r>
      <w:r>
        <w:rPr>
          <w:sz w:val="18"/>
        </w:rPr>
        <w:t>Every indicator gains a scenario corridor; assessments shift from directional to quantitative, continuously refreshable.</w:t>
      </w:r>
    </w:p>
    <w:p>
      <w:pPr>
        <w:pStyle w:val="ListBullet"/>
        <w:spacing w:after="20"/>
      </w:pPr>
      <w:r>
        <w:rPr>
          <w:b/>
          <w:sz w:val="18"/>
        </w:rPr>
        <w:t xml:space="preserve">Transition dynamics, bottom-up — </w:t>
      </w:r>
      <w:r>
        <w:rPr>
          <w:sz w:val="18"/>
        </w:rPr>
        <w:t>Sectoral submissions show how much of the remaining effort still rests on mature-technology roll-out versus hard structural and societal change — so early target-hitting cannot hide a hard residual.</w:t>
      </w:r>
    </w:p>
    <w:p>
      <w:pPr>
        <w:pStyle w:val="ListBullet"/>
        <w:spacing w:after="20"/>
      </w:pPr>
      <w:r>
        <w:rPr>
          <w:b/>
          <w:sz w:val="18"/>
        </w:rPr>
        <w:t xml:space="preserve">Broader, fresher evidence — </w:t>
      </w:r>
      <w:r>
        <w:rPr>
          <w:sz w:val="18"/>
        </w:rPr>
        <w:t>An open ensemble across many teams beats any single commissioned study; sectoral submissions (fleet, building-stock, agro-economic models) fill known IAM blind spots such as renovation rates, mode shares and livestock intensities.</w:t>
      </w:r>
    </w:p>
    <w:p>
      <w:pPr>
        <w:pStyle w:val="ListBullet"/>
        <w:spacing w:after="20"/>
      </w:pPr>
      <w:r>
        <w:rPr>
          <w:b/>
          <w:sz w:val="18"/>
        </w:rPr>
        <w:t xml:space="preserve">Low marginal cost — </w:t>
      </w:r>
      <w:r>
        <w:rPr>
          <w:sz w:val="18"/>
        </w:rPr>
        <w:t>Tooling is an extension of existing MethodHub infrastructure; modellers' incentive is visibility of their scenarios in advisory-board assessments.</w:t>
      </w:r>
    </w:p>
    <w:p>
      <w:pPr>
        <w:pStyle w:val="ListBullet"/>
        <w:spacing w:after="20"/>
      </w:pPr>
      <w:r>
        <w:rPr>
          <w:b/>
          <w:sz w:val="18"/>
        </w:rPr>
        <w:t xml:space="preserve">Transparency — </w:t>
      </w:r>
      <w:r>
        <w:rPr>
          <w:sz w:val="18"/>
        </w:rPr>
        <w:t>A documented, open call with published criteria strengthens the board's independence compared with selecting scenarios ad hoc.</w:t>
      </w:r>
    </w:p>
    <w:p>
      <w:pPr>
        <w:spacing w:before="80" w:after="20"/>
      </w:pPr>
      <w:r>
        <w:rPr>
          <w:b/>
          <w:color w:val="2F6E5B"/>
          <w:sz w:val="20"/>
        </w:rPr>
        <w:t>Risks</w:t>
      </w:r>
    </w:p>
    <w:p>
      <w:pPr>
        <w:pStyle w:val="ListBullet"/>
        <w:spacing w:after="20"/>
      </w:pPr>
      <w:r>
        <w:rPr>
          <w:b/>
          <w:sz w:val="18"/>
        </w:rPr>
        <w:t xml:space="preserve">Low or skewed response — </w:t>
      </w:r>
      <w:r>
        <w:rPr>
          <w:sz w:val="18"/>
        </w:rPr>
        <w:t>The central risk. Mitigated by the board's network distribution, a low submission burden (standard IAMC template), and seeding the database with the 63 runs we already hold so the tool is useful from day one.</w:t>
      </w:r>
    </w:p>
    <w:p>
      <w:pPr>
        <w:pStyle w:val="ListBullet"/>
        <w:spacing w:after="20"/>
      </w:pPr>
      <w:r>
        <w:rPr>
          <w:b/>
          <w:sz w:val="18"/>
        </w:rPr>
        <w:t xml:space="preserve">Quality and comparability — </w:t>
      </w:r>
      <w:r>
        <w:rPr>
          <w:sz w:val="18"/>
        </w:rPr>
        <w:t>Mitigated by automated vetting and harmonisation diagnostics, plus published inclusion criteria; submission does not imply endorsement.</w:t>
      </w:r>
    </w:p>
    <w:p>
      <w:pPr>
        <w:pStyle w:val="ListBullet"/>
        <w:spacing w:after="20"/>
      </w:pPr>
      <w:r>
        <w:rPr>
          <w:b/>
          <w:sz w:val="18"/>
        </w:rPr>
        <w:t xml:space="preserve">Coverage gaps — </w:t>
      </w:r>
      <w:r>
        <w:rPr>
          <w:sz w:val="18"/>
        </w:rPr>
        <w:t>Some indicators (circular material use, food waste, first-generation biofuel shares) are not standard outputs; the call flags them as requested variables and the sectoral track recruits the models that can report them.</w:t>
      </w:r>
    </w:p>
    <w:p>
      <w:pPr>
        <w:pStyle w:val="ListBullet"/>
        <w:spacing w:after="20"/>
      </w:pPr>
      <w:r>
        <w:rPr>
          <w:b/>
          <w:sz w:val="18"/>
        </w:rPr>
        <w:t xml:space="preserve">Process cost — </w:t>
      </w:r>
      <w:r>
        <w:rPr>
          <w:sz w:val="18"/>
        </w:rPr>
        <w:t>Concentrated in distribution and follow-up rather than in engineering — a bounded, plannable effort for the secretariat.</w:t>
      </w:r>
    </w:p>
    <w:p>
      <w:pPr>
        <w:spacing w:before="80" w:after="20"/>
      </w:pPr>
      <w:r>
        <w:rPr>
          <w:b/>
          <w:color w:val="2F6E5B"/>
          <w:sz w:val="20"/>
        </w:rPr>
        <w:t>Bottom line</w:t>
      </w:r>
    </w:p>
    <w:p>
      <w:r>
        <w:rPr>
          <w:i w:val="0"/>
          <w:sz w:val="18"/>
        </w:rPr>
        <w:t>The call is feasible with modest effort: the infrastructure and analysis tooling can be delivered on the MethodHub, the indicator matching already exists in prototype, and the one real success factor — that teams actually submit — is exactly where the board is strongest, through Keywan's and Detlef's networks. We propose preparing a pilot call for autumn 2026.</w:t>
      </w:r>
    </w:p>
    <w:sectPr w:rsidR="00FC693F" w:rsidRPr="0006063C" w:rsidSect="00034616">
      <w:pgSz w:w="12240" w:h="15840"/>
      <w:pgMar w:top="624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