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</w:t>
      </w:r>
    </w:p>
    <w:p>
      <w:r>
        <w:rPr>
          <w:i w:val="0"/>
          <w:sz w:val="18"/>
        </w:rPr>
        <w:t>Our monitoring frameworks tell us what to track but not how fast it must move. The board's sector flow charts carry ~40 progress indicators, today read against observed trends and EC scenarios only. Matched scenario corridors turn every indicator into a quantified benchmark and keep gap assessments evidence-based as policy and model vintages evolve.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snapshots —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design control, but slow, costly, few models — weak ensembles, hand-picked look.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IAM and sectoral teams submit economy-wide or sectoral EU scenarios directly to the MethodHub — best breadth and freshness at the lowest cost; the other options stay as complements.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416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55B63"/>
          <w:sz w:val="15"/>
        </w:rPr>
        <w:t>Figure 1 | Current (a) vs new (b) assessment logic (schematic). Shaded band: range across submitted scenarios; solid line: ensemble median.</w:t>
      </w:r>
    </w:p>
    <w:p>
      <w:pPr>
        <w:spacing w:before="80" w:after="20"/>
      </w:pPr>
      <w:r>
        <w:rPr>
          <w:b/>
          <w:color w:val="2F6E5B"/>
          <w:sz w:val="20"/>
        </w:rPr>
        <w:t>What the figure shows</w:t>
      </w:r>
    </w:p>
    <w:p>
      <w:pPr>
        <w:pStyle w:val="ListBullet"/>
        <w:spacing w:after="20"/>
      </w:pPr>
      <w:r>
        <w:rPr>
          <w:b/>
          <w:sz w:val="18"/>
        </w:rPr>
        <w:t xml:space="preserve">Panel a (today) — </w:t>
      </w:r>
      <w:r>
        <w:rPr>
          <w:sz w:val="18"/>
        </w:rPr>
        <w:t>Both forward-looking elements come from official sources only: the Member State WEM/WAM projections (reported under the Governance Regulation, aggregated by the EEA) answer 'will we meet the benchmark under current and planned policies?', and the EC-scenario benchmarks set the goal posts. There is no independent scientific check and no uncertainty range around either.</w:t>
      </w:r>
    </w:p>
    <w:p>
      <w:pPr>
        <w:pStyle w:val="ListBullet"/>
        <w:spacing w:after="20"/>
      </w:pPr>
      <w:r>
        <w:rPr>
          <w:b/>
          <w:sz w:val="18"/>
        </w:rPr>
        <w:t xml:space="preserve">Panel b (with the call) — </w:t>
      </w:r>
      <w:r>
        <w:rPr>
          <w:sz w:val="18"/>
        </w:rPr>
        <w:t>Both elements are kept, but the submitted scenario ensemble is added alongside: the shaded band is the range across all submitted runs, the solid line their median. Where the official projections and benchmarks sit relative to the band shows at a glance whether they are optimistic or conservative against the scientific landscape — and the ensemble reveals futures (such as deeper-than-target cuts) that a single official trajectory never shows.</w:t>
      </w:r>
    </w:p>
    <w:p>
      <w:pPr>
        <w:pStyle w:val="ListBullet"/>
        <w:spacing w:after="20"/>
      </w:pPr>
      <w:r>
        <w:rPr>
          <w:b/>
          <w:sz w:val="18"/>
        </w:rPr>
        <w:t xml:space="preserve">Why it matters — </w:t>
      </w:r>
      <w:r>
        <w:rPr>
          <w:sz w:val="18"/>
        </w:rPr>
        <w:t>The same comparison is repeated per indicator on the matched flow chart, giving every sector benchmark an independent, scientifically robust corridor — and a documented basis for judging whether EC scenarios are too optimistic or too pessimistic on specific points.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the scenario snapshot and the indicator database; teams submit IAMC-template files through a portal — no new platform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A prototype flow chart ('Scenario call') already maps every indicator — mitigation and adaptation — to a template variable and submission track; submitted runs resolve against it automatically.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Vetting, filtering and corridor analysis run in the existing MethodHub pipeline (harmonisation diagnostics as used for the current snapshot).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Keywan Riahi (MESSAGEix-GLOBIOM, IIASA) and Detlef van Vuuren (IMAGE, PBL) on the board,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Quantified, independent monitoring — </w:t>
      </w:r>
      <w:r>
        <w:rPr>
          <w:sz w:val="18"/>
        </w:rPr>
        <w:t>Every indicator gains a scenario corridor, and EC scenarios can be assessed against the broader scientific landscape (see figure).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at low cost — </w:t>
      </w:r>
      <w:r>
        <w:rPr>
          <w:sz w:val="18"/>
        </w:rPr>
        <w:t>An open multi-team ensemble beats any single study; sectoral submissions fill IAM blind spots (renovation rates, mode shares, livestock intensities); tooling is an extension of existing infrastructure.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 open call with published criteria strengthens the board's independence over ad-hoc scenario selection.</w:t>
      </w:r>
    </w:p>
    <w:p>
      <w:pPr>
        <w:spacing w:before="80" w:after="20"/>
      </w:pPr>
      <w:r>
        <w:rPr>
          <w:b/>
          <w:color w:val="2F6E5B"/>
          <w:sz w:val="20"/>
        </w:rPr>
        <w:t>Risks — and why they are manageable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 — mitigated by network distribution, a low submission burden (standard IAMC template), and seeding with the 63 runs already held so the tool works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Automated vetting and harmonisation diagnostics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Non-standard outputs (circular material use, food waste, renovation equity) are flagged as requested variables; the sectoral and impact-model tracks recruit the teams that can report them.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Feasible with modest effort: infrastructure and analysis tooling are deliverable on the MethodHub, indicator matching exists in prototype, and the one real success factor — that teams submit — is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