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974F" w14:textId="77F638EE" w:rsidR="0067688D" w:rsidRDefault="00DD3559" w:rsidP="00C72D31">
      <w:pPr>
        <w:pStyle w:val="ZCom"/>
        <w:widowControl/>
        <w:tabs>
          <w:tab w:val="left" w:pos="142"/>
          <w:tab w:val="center" w:pos="4209"/>
          <w:tab w:val="left" w:pos="4253"/>
          <w:tab w:val="left" w:pos="6900"/>
        </w:tabs>
        <w:jc w:val="center"/>
        <w:rPr>
          <w:rFonts w:ascii="Calibri" w:hAnsi="Calibri"/>
        </w:rPr>
      </w:pPr>
      <w:r>
        <w:rPr>
          <w:noProof/>
        </w:rPr>
        <w:drawing>
          <wp:inline distT="0" distB="0" distL="0" distR="0" wp14:anchorId="17972F8B" wp14:editId="0B1E0968">
            <wp:extent cx="3416300" cy="686453"/>
            <wp:effectExtent l="0" t="0" r="0" b="0"/>
            <wp:docPr id="1044371696" name="Image 2" descr="Une image contenant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71696" name="Image 2" descr="Une image contenant Graphique&#10;&#10;Description générée automatiquemen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7296" cy="692681"/>
                    </a:xfrm>
                    <a:prstGeom prst="rect">
                      <a:avLst/>
                    </a:prstGeom>
                    <a:noFill/>
                    <a:ln>
                      <a:noFill/>
                    </a:ln>
                  </pic:spPr>
                </pic:pic>
              </a:graphicData>
            </a:graphic>
          </wp:inline>
        </w:drawing>
      </w:r>
    </w:p>
    <w:p w14:paraId="64219750" w14:textId="77777777" w:rsidR="0067688D" w:rsidRDefault="0067688D" w:rsidP="00DD3559">
      <w:pPr>
        <w:pStyle w:val="ZDGName"/>
        <w:jc w:val="center"/>
        <w:rPr>
          <w:rFonts w:ascii="Calibri" w:hAnsi="Calibri"/>
        </w:rPr>
      </w:pPr>
    </w:p>
    <w:p w14:paraId="64219751" w14:textId="77777777" w:rsidR="0067688D" w:rsidRDefault="0067688D" w:rsidP="0067688D">
      <w:pPr>
        <w:pStyle w:val="ZCom"/>
        <w:widowControl/>
        <w:jc w:val="center"/>
        <w:rPr>
          <w:rFonts w:ascii="Calibri" w:hAnsi="Calibri"/>
        </w:rPr>
      </w:pPr>
    </w:p>
    <w:p w14:paraId="64219753" w14:textId="5465D122" w:rsidR="0067688D" w:rsidRPr="00C92BF7" w:rsidRDefault="009A4226" w:rsidP="00DD3559">
      <w:pPr>
        <w:autoSpaceDE w:val="0"/>
        <w:autoSpaceDN w:val="0"/>
        <w:spacing w:before="960" w:after="0"/>
        <w:ind w:right="85"/>
        <w:jc w:val="center"/>
        <w:rPr>
          <w:rFonts w:ascii="Calibri" w:hAnsi="Calibri"/>
          <w:sz w:val="24"/>
          <w:szCs w:val="24"/>
          <w:lang w:eastAsia="en-GB"/>
        </w:rPr>
      </w:pPr>
      <w:r>
        <w:rPr>
          <w:rFonts w:ascii="Calibri" w:hAnsi="Calibri" w:cs="Arial"/>
          <w:sz w:val="24"/>
          <w:lang w:eastAsia="en-GB"/>
        </w:rPr>
        <w:t>Unit</w:t>
      </w:r>
      <w:r w:rsidR="0067688D" w:rsidRPr="00C92BF7">
        <w:rPr>
          <w:rFonts w:ascii="Calibri" w:hAnsi="Calibri" w:cs="Arial"/>
          <w:sz w:val="24"/>
          <w:lang w:eastAsia="en-GB"/>
        </w:rPr>
        <w:t xml:space="preserve"> </w:t>
      </w:r>
      <w:sdt>
        <w:sdtPr>
          <w:rPr>
            <w:rFonts w:ascii="Calibri" w:hAnsi="Calibri" w:cs="Arial"/>
            <w:sz w:val="24"/>
            <w:lang w:eastAsia="en-GB"/>
          </w:rPr>
          <w:alias w:val="Responsable"/>
          <w:tag w:val=""/>
          <w:id w:val="-48687217"/>
          <w:placeholder>
            <w:docPart w:val="660A1BB8C6C045948A54EC95BA92207C"/>
          </w:placeholder>
          <w:showingPlcHdr/>
          <w:dataBinding w:prefixMappings="xmlns:ns0='http://schemas.openxmlformats.org/officeDocument/2006/extended-properties' " w:xpath="/ns0:Properties[1]/ns0:Manager[1]" w:storeItemID="{6668398D-A668-4E3E-A5EB-62B293D839F1}"/>
          <w:text/>
        </w:sdtPr>
        <w:sdtEndPr>
          <w:rPr>
            <w:szCs w:val="24"/>
          </w:rPr>
        </w:sdtEndPr>
        <w:sdtContent>
          <w:r w:rsidR="00680874" w:rsidRPr="00680874">
            <w:rPr>
              <w:rFonts w:asciiTheme="minorHAnsi" w:eastAsia="PMingLiU" w:hAnsiTheme="minorHAnsi" w:cstheme="minorHAnsi"/>
              <w:b/>
              <w:color w:val="984806" w:themeColor="accent6" w:themeShade="80"/>
              <w:sz w:val="24"/>
              <w:szCs w:val="24"/>
            </w:rPr>
            <w:t>CCE5</w:t>
          </w:r>
          <w:r w:rsidR="00680874">
            <w:rPr>
              <w:rFonts w:asciiTheme="minorHAnsi" w:eastAsia="PMingLiU" w:hAnsiTheme="minorHAnsi" w:cstheme="minorHAnsi"/>
              <w:b/>
              <w:color w:val="984806" w:themeColor="accent6" w:themeShade="80"/>
              <w:sz w:val="24"/>
              <w:szCs w:val="24"/>
            </w:rPr>
            <w:t/>
          </w:r>
          <w:r w:rsidR="00680874" w:rsidRPr="00680874">
            <w:rPr>
              <w:rFonts w:asciiTheme="minorHAnsi" w:eastAsia="PMingLiU" w:hAnsiTheme="minorHAnsi" w:cstheme="minorHAnsi"/>
              <w:b/>
              <w:color w:val="984806" w:themeColor="accent6" w:themeShade="80"/>
              <w:sz w:val="24"/>
              <w:szCs w:val="24"/>
            </w:rPr>
            <w:t xml:space="preserve"/>
          </w:r>
          <w:r w:rsidR="00680874">
            <w:rPr>
              <w:rFonts w:asciiTheme="minorHAnsi" w:eastAsia="PMingLiU" w:hAnsiTheme="minorHAnsi" w:cstheme="minorHAnsi"/>
              <w:b/>
              <w:color w:val="984806" w:themeColor="accent6" w:themeShade="80"/>
              <w:sz w:val="24"/>
              <w:szCs w:val="24"/>
            </w:rPr>
            <w:t/>
          </w:r>
          <w:r w:rsidR="00680874" w:rsidRPr="00680874">
            <w:rPr>
              <w:rFonts w:asciiTheme="minorHAnsi" w:eastAsia="PMingLiU" w:hAnsiTheme="minorHAnsi" w:cstheme="minorHAnsi"/>
              <w:b/>
              <w:color w:val="984806" w:themeColor="accent6" w:themeShade="80"/>
              <w:sz w:val="24"/>
              <w:szCs w:val="24"/>
            </w:rPr>
            <w:t/>
          </w:r>
        </w:sdtContent>
      </w:sdt>
    </w:p>
    <w:bookmarkStart w:id="0" w:name="eltqSubject"/>
    <w:p w14:paraId="64219755" w14:textId="73EE31F6" w:rsidR="0067688D" w:rsidRPr="000928E1" w:rsidRDefault="0067688D" w:rsidP="0067688D">
      <w:pPr>
        <w:pStyle w:val="SubTitle1"/>
        <w:spacing w:before="2640" w:after="480"/>
        <w:rPr>
          <w:rFonts w:ascii="Calibri" w:hAnsi="Calibri"/>
          <w:sz w:val="44"/>
          <w:szCs w:val="44"/>
        </w:rPr>
      </w:pPr>
      <w:r w:rsidRPr="004A5AC6">
        <w:rPr>
          <w:rFonts w:ascii="Calibri" w:hAnsi="Calibri"/>
        </w:rPr>
        <w:fldChar w:fldCharType="begin"/>
      </w:r>
      <w:r w:rsidRPr="00C92BF7">
        <w:rPr>
          <w:rFonts w:ascii="Calibri" w:hAnsi="Calibri"/>
        </w:rPr>
        <w:instrText xml:space="preserve"> Subject \* MERGEFORMAT </w:instrText>
      </w:r>
      <w:r w:rsidRPr="004A5AC6">
        <w:rPr>
          <w:rFonts w:ascii="Calibri" w:hAnsi="Calibri"/>
        </w:rPr>
        <w:fldChar w:fldCharType="end"/>
      </w:r>
      <w:bookmarkEnd w:id="0"/>
      <w:r w:rsidRPr="00C92BF7">
        <w:rPr>
          <w:rFonts w:ascii="Calibri" w:hAnsi="Calibri"/>
        </w:rPr>
        <w:t xml:space="preserve">  </w:t>
      </w:r>
      <w:r>
        <w:rPr>
          <w:rFonts w:ascii="Calibri" w:hAnsi="Calibri"/>
          <w:sz w:val="44"/>
          <w:szCs w:val="44"/>
        </w:rPr>
        <w:t>Project Initiation Request</w:t>
      </w:r>
    </w:p>
    <w:p w14:paraId="64219756" w14:textId="77777777" w:rsidR="0067688D" w:rsidRPr="000928E1" w:rsidRDefault="00000000" w:rsidP="0067688D">
      <w:pPr>
        <w:jc w:val="center"/>
        <w:rPr>
          <w:color w:val="984806" w:themeColor="accent6" w:themeShade="80"/>
        </w:rPr>
      </w:pPr>
      <w:sdt>
        <w:sdtPr>
          <w:rPr>
            <w:rFonts w:asciiTheme="minorHAnsi" w:eastAsia="PMingLiU" w:hAnsiTheme="minorHAnsi" w:cstheme="minorHAnsi"/>
            <w:b/>
            <w:color w:val="984806" w:themeColor="accent6" w:themeShade="80"/>
            <w:sz w:val="40"/>
            <w:szCs w:val="40"/>
          </w:rPr>
          <w:alias w:val="Subject"/>
          <w:tag w:val=""/>
          <w:id w:val="1232504091"/>
          <w:placeholder>
            <w:docPart w:val="32A0012396BC494EAFE480AD8C93756C"/>
          </w:placeholder>
          <w:dataBinding w:prefixMappings="xmlns:ns0='http://purl.org/dc/elements/1.1/' xmlns:ns1='http://schemas.openxmlformats.org/package/2006/metadata/core-properties' " w:xpath="/ns1:coreProperties[1]/ns0:subject[1]" w:storeItemID="{6C3C8BC8-F283-45AE-878A-BAB7291924A1}"/>
          <w:text/>
        </w:sdtPr>
        <w:sdtContent>
          <w:r w:rsidR="0067688D">
            <w:rPr>
              <w:rFonts w:asciiTheme="minorHAnsi" w:eastAsia="PMingLiU" w:hAnsiTheme="minorHAnsi" w:cstheme="minorHAnsi"/>
              <w:b/>
              <w:color w:val="984806" w:themeColor="accent6" w:themeShade="80"/>
              <w:sz w:val="40"/>
              <w:szCs w:val="40"/>
            </w:rPr>
            <w:t>ESABCC MethodHub</w:t>
          </w:r>
        </w:sdtContent>
      </w:sdt>
    </w:p>
    <w:p w14:paraId="64219757" w14:textId="77777777" w:rsidR="0067688D" w:rsidRPr="00FD4694" w:rsidRDefault="0067688D" w:rsidP="00EC4B8A">
      <w:pPr>
        <w:spacing w:before="2000" w:after="0"/>
        <w:ind w:left="3600" w:firstLine="653"/>
        <w:jc w:val="left"/>
        <w:rPr>
          <w:rFonts w:ascii="Calibri" w:hAnsi="Calibri"/>
          <w:b/>
          <w:color w:val="E36C0A" w:themeColor="accent6" w:themeShade="BF"/>
          <w:sz w:val="40"/>
          <w:lang w:val="fr-FR"/>
        </w:rPr>
      </w:pPr>
      <w:proofErr w:type="gramStart"/>
      <w:r w:rsidRPr="00FD4694">
        <w:rPr>
          <w:rFonts w:ascii="Calibri" w:hAnsi="Calibri"/>
          <w:lang w:val="fr-FR"/>
        </w:rPr>
        <w:t>Date:</w:t>
      </w:r>
      <w:proofErr w:type="gramEnd"/>
      <w:r w:rsidRPr="00FD4694">
        <w:rPr>
          <w:rFonts w:ascii="Calibri" w:hAnsi="Calibri"/>
          <w:lang w:val="fr-FR"/>
        </w:rPr>
        <w:t xml:space="preserve"> </w:t>
      </w:r>
      <w:r w:rsidRPr="00FD4694">
        <w:rPr>
          <w:rFonts w:ascii="Calibri" w:hAnsi="Calibri"/>
          <w:lang w:val="fr-FR"/>
        </w:rPr>
        <w:tab/>
      </w:r>
      <w:r w:rsidRPr="00FD4694">
        <w:rPr>
          <w:rFonts w:ascii="Calibri" w:hAnsi="Calibri"/>
          <w:lang w:val="fr-FR"/>
        </w:rPr>
        <w:tab/>
      </w:r>
      <w:sdt>
        <w:sdtPr>
          <w:rPr>
            <w:rFonts w:asciiTheme="minorHAnsi" w:eastAsia="Calibri" w:hAnsiTheme="minorHAnsi" w:cstheme="minorHAnsi"/>
            <w:bCs/>
            <w:color w:val="984806" w:themeColor="accent6" w:themeShade="80"/>
            <w:lang w:val="fr-FR"/>
          </w:rPr>
          <w:alias w:val="Date"/>
          <w:tag w:val="Date"/>
          <w:id w:val="1179472455"/>
          <w:placeholder>
            <w:docPart w:val="2EF0F87BED024EF79027D99E1E09F127"/>
          </w:placeholder>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r w:rsidR="00F25405" w:rsidRPr="00FD4694">
            <w:rPr>
              <w:rFonts w:asciiTheme="minorHAnsi" w:eastAsia="Calibri" w:hAnsiTheme="minorHAnsi" w:cstheme="minorHAnsi"/>
              <w:bCs/>
              <w:color w:val="984806" w:themeColor="accent6" w:themeShade="80"/>
              <w:lang w:val="fr-FR"/>
            </w:rPr>
            <w:t>23/04/2026</w:t>
          </w:r>
        </w:sdtContent>
      </w:sdt>
    </w:p>
    <w:p w14:paraId="64219758" w14:textId="77777777" w:rsidR="0067688D" w:rsidRPr="00FD4694" w:rsidRDefault="0067688D" w:rsidP="00EC4B8A">
      <w:pPr>
        <w:spacing w:after="0"/>
        <w:ind w:left="3600" w:firstLine="653"/>
        <w:jc w:val="left"/>
        <w:rPr>
          <w:rFonts w:ascii="Calibri" w:hAnsi="Calibri"/>
          <w:b/>
          <w:sz w:val="40"/>
          <w:lang w:val="fr-FR"/>
        </w:rPr>
      </w:pPr>
      <w:r w:rsidRPr="00FD4694">
        <w:rPr>
          <w:rFonts w:asciiTheme="minorHAnsi" w:hAnsiTheme="minorHAnsi" w:cstheme="minorHAnsi"/>
          <w:lang w:val="fr-FR"/>
        </w:rPr>
        <w:t xml:space="preserve">Doc. </w:t>
      </w:r>
      <w:proofErr w:type="gramStart"/>
      <w:r w:rsidRPr="00FD4694">
        <w:rPr>
          <w:rFonts w:asciiTheme="minorHAnsi" w:hAnsiTheme="minorHAnsi" w:cstheme="minorHAnsi"/>
          <w:lang w:val="fr-FR"/>
        </w:rPr>
        <w:t>Version:</w:t>
      </w:r>
      <w:proofErr w:type="gramEnd"/>
      <w:r w:rsidRPr="00FD4694">
        <w:rPr>
          <w:rFonts w:asciiTheme="minorHAnsi" w:hAnsiTheme="minorHAnsi" w:cstheme="minorHAnsi"/>
          <w:lang w:val="fr-FR"/>
        </w:rPr>
        <w:t xml:space="preserve"> </w:t>
      </w:r>
      <w:r w:rsidRPr="00FD4694">
        <w:rPr>
          <w:rFonts w:asciiTheme="minorHAnsi" w:hAnsiTheme="minorHAnsi" w:cstheme="minorHAnsi"/>
          <w:lang w:val="fr-FR"/>
        </w:rPr>
        <w:tab/>
      </w:r>
      <w:bookmarkStart w:id="1" w:name="_Hlk140676306"/>
      <w:sdt>
        <w:sdtPr>
          <w:rPr>
            <w:rFonts w:asciiTheme="minorHAnsi" w:eastAsia="PMingLiU" w:hAnsiTheme="minorHAnsi" w:cstheme="minorHAnsi"/>
            <w:color w:val="984806" w:themeColor="accent6" w:themeShade="80"/>
            <w:lang w:val="fr-FR"/>
          </w:rPr>
          <w:alias w:val="Version"/>
          <w:id w:val="962387778"/>
          <w:placeholder>
            <w:docPart w:val="0CFBD9A1F58A46378A64ABBF7BCEB5FA"/>
          </w:placeholder>
          <w:dataBinding w:prefixMappings="xmlns:ns0='http://purl.org/dc/elements/1.1/' xmlns:ns1='http://schemas.openxmlformats.org/package/2006/metadata/core-properties' " w:xpath="/ns1:coreProperties[1]/ns1:contentStatus[1]" w:storeItemID="{6C3C8BC8-F283-45AE-878A-BAB7291924A1}"/>
          <w:text/>
        </w:sdtPr>
        <w:sdtContent>
          <w:r w:rsidR="00F25405" w:rsidRPr="00FD4694">
            <w:rPr>
              <w:rFonts w:asciiTheme="minorHAnsi" w:eastAsia="PMingLiU" w:hAnsiTheme="minorHAnsi" w:cstheme="minorHAnsi"/>
              <w:color w:val="984806" w:themeColor="accent6" w:themeShade="80"/>
              <w:lang w:val="fr-FR"/>
            </w:rPr>
            <w:t>0.1 (draft)</w:t>
          </w:r>
        </w:sdtContent>
      </w:sdt>
      <w:r w:rsidRPr="00FD4694">
        <w:rPr>
          <w:rFonts w:asciiTheme="minorHAnsi" w:hAnsiTheme="minorHAnsi" w:cstheme="minorHAnsi"/>
          <w:color w:val="984806" w:themeColor="accent6" w:themeShade="80"/>
          <w:lang w:val="fr-FR"/>
        </w:rPr>
        <w:t xml:space="preserve"> </w:t>
      </w:r>
      <w:bookmarkEnd w:id="1"/>
    </w:p>
    <w:p w14:paraId="64219759" w14:textId="6CA951CB" w:rsidR="0067688D" w:rsidRPr="00EC4B8A" w:rsidRDefault="00EC4B8A" w:rsidP="00EC4B8A">
      <w:pPr>
        <w:spacing w:after="460"/>
        <w:ind w:left="3600" w:firstLine="653"/>
        <w:rPr>
          <w:rFonts w:ascii="Calibri" w:hAnsi="Calibri"/>
        </w:rPr>
      </w:pPr>
      <w:r>
        <w:rPr>
          <w:rFonts w:ascii="Calibri" w:hAnsi="Calibri"/>
        </w:rPr>
        <w:t xml:space="preserve">Template version: </w:t>
      </w:r>
      <w:r w:rsidR="00907E2C">
        <w:rPr>
          <w:rFonts w:ascii="Calibri" w:hAnsi="Calibri"/>
        </w:rPr>
        <w:t>1</w:t>
      </w:r>
      <w:r w:rsidR="00470BB6">
        <w:rPr>
          <w:rFonts w:ascii="Calibri" w:hAnsi="Calibri"/>
        </w:rPr>
        <w:t>.0</w:t>
      </w:r>
    </w:p>
    <w:p w14:paraId="6421975B" w14:textId="77777777" w:rsidR="0067688D" w:rsidRPr="00EC4B8A" w:rsidRDefault="0067688D" w:rsidP="0067688D">
      <w:pPr>
        <w:rPr>
          <w:rFonts w:ascii="Calibri" w:hAnsi="Calibri"/>
        </w:rPr>
      </w:pPr>
    </w:p>
    <w:p w14:paraId="6421975D" w14:textId="77777777" w:rsidR="0067688D" w:rsidRPr="00EC4B8A" w:rsidRDefault="0067688D" w:rsidP="0067688D">
      <w:pPr>
        <w:rPr>
          <w:rFonts w:ascii="Calibri" w:hAnsi="Calibri"/>
        </w:rPr>
      </w:pPr>
    </w:p>
    <w:p w14:paraId="6421975E" w14:textId="65DB1A2E" w:rsidR="0067688D" w:rsidRDefault="003C7A8C" w:rsidP="003C7A8C">
      <w:pPr>
        <w:spacing w:after="0" w:line="276" w:lineRule="auto"/>
        <w:jc w:val="center"/>
        <w:rPr>
          <w:rFonts w:asciiTheme="minorHAnsi" w:eastAsia="Calibri" w:hAnsiTheme="minorHAnsi" w:cstheme="minorHAnsi"/>
          <w:color w:val="984806" w:themeColor="accent6" w:themeShade="80"/>
          <w:szCs w:val="22"/>
        </w:rPr>
      </w:pPr>
      <w:r>
        <w:rPr>
          <w:rFonts w:asciiTheme="minorHAnsi" w:eastAsia="Calibri" w:hAnsiTheme="minorHAnsi" w:cstheme="minorHAnsi"/>
          <w:szCs w:val="22"/>
        </w:rPr>
        <w:t xml:space="preserve">The latest version of this controlled document is stored in the CCE5 SharePoint / Teams site.</w:t>
      </w:r>
      <w:r>
        <w:rPr>
          <w:rFonts w:asciiTheme="minorHAnsi" w:eastAsia="Calibri" w:hAnsiTheme="minorHAnsi" w:cstheme="minorHAnsi"/>
          <w:color w:val="984806" w:themeColor="accent6" w:themeShade="80"/>
          <w:sz w:val="20"/>
        </w:rPr>
        <w:t/>
      </w:r>
      <w:r>
        <w:rPr>
          <w:rFonts w:asciiTheme="minorHAnsi" w:eastAsia="Calibri" w:hAnsiTheme="minorHAnsi" w:cstheme="minorHAnsi"/>
          <w:color w:val="984806" w:themeColor="accent6" w:themeShade="80"/>
          <w:szCs w:val="22"/>
        </w:rPr>
        <w:t/>
      </w:r>
    </w:p>
    <w:p w14:paraId="038A0291" w14:textId="77777777" w:rsidR="003C7A8C" w:rsidRDefault="003C7A8C" w:rsidP="003C7A8C">
      <w:pPr>
        <w:spacing w:after="0" w:line="276" w:lineRule="auto"/>
        <w:jc w:val="center"/>
        <w:rPr>
          <w:rFonts w:asciiTheme="minorHAnsi" w:eastAsia="Calibri" w:hAnsiTheme="minorHAnsi" w:cstheme="minorHAnsi"/>
          <w:color w:val="984806" w:themeColor="accent6" w:themeShade="80"/>
          <w:szCs w:val="22"/>
        </w:rPr>
      </w:pPr>
    </w:p>
    <w:p w14:paraId="6CCBCA26" w14:textId="77777777" w:rsidR="003C7A8C" w:rsidRPr="003C7A8C" w:rsidRDefault="003C7A8C" w:rsidP="003C7A8C">
      <w:pPr>
        <w:spacing w:after="0" w:line="276" w:lineRule="auto"/>
        <w:jc w:val="center"/>
        <w:rPr>
          <w:rFonts w:asciiTheme="minorHAnsi" w:eastAsia="Calibri" w:hAnsiTheme="minorHAnsi" w:cstheme="minorHAnsi"/>
          <w:color w:val="000000" w:themeColor="text1"/>
          <w:szCs w:val="22"/>
        </w:rPr>
      </w:pPr>
    </w:p>
    <w:p w14:paraId="6421975F" w14:textId="01E515A8" w:rsidR="0067688D" w:rsidRPr="00EC4B8A" w:rsidRDefault="0067688D" w:rsidP="0067688D">
      <w:pPr>
        <w:ind w:left="1440" w:firstLine="720"/>
        <w:jc w:val="right"/>
        <w:rPr>
          <w:rFonts w:ascii="Calibri" w:hAnsi="Calibri"/>
          <w:i/>
        </w:rPr>
      </w:pPr>
    </w:p>
    <w:p w14:paraId="64219760" w14:textId="5978E1C0" w:rsidR="0067688D" w:rsidRPr="00EC4B8A" w:rsidRDefault="0067688D" w:rsidP="0067688D">
      <w:pPr>
        <w:ind w:left="1440" w:firstLine="720"/>
        <w:jc w:val="right"/>
        <w:rPr>
          <w:rFonts w:ascii="Calibri" w:hAnsi="Calibri"/>
          <w:i/>
        </w:rPr>
      </w:pPr>
      <w:r>
        <w:rPr>
          <w:noProof/>
          <w:lang w:val="fr-BE" w:eastAsia="fr-BE"/>
        </w:rPr>
        <w:drawing>
          <wp:anchor distT="0" distB="0" distL="114300" distR="114300" simplePos="0" relativeHeight="251665408" behindDoc="0" locked="1" layoutInCell="0" allowOverlap="1" wp14:anchorId="64219812" wp14:editId="2EB5910D">
            <wp:simplePos x="0" y="0"/>
            <wp:positionH relativeFrom="column">
              <wp:posOffset>2252345</wp:posOffset>
            </wp:positionH>
            <wp:positionV relativeFrom="paragraph">
              <wp:posOffset>-81915</wp:posOffset>
            </wp:positionV>
            <wp:extent cx="1040130" cy="445770"/>
            <wp:effectExtent l="0" t="0" r="762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40130" cy="445770"/>
                    </a:xfrm>
                    <a:prstGeom prst="rect">
                      <a:avLst/>
                    </a:prstGeom>
                    <a:noFill/>
                  </pic:spPr>
                </pic:pic>
              </a:graphicData>
            </a:graphic>
            <wp14:sizeRelH relativeFrom="page">
              <wp14:pctWidth>0</wp14:pctWidth>
            </wp14:sizeRelH>
            <wp14:sizeRelV relativeFrom="page">
              <wp14:pctHeight>0</wp14:pctHeight>
            </wp14:sizeRelV>
          </wp:anchor>
        </w:drawing>
      </w:r>
    </w:p>
    <w:p w14:paraId="64219761" w14:textId="77777777" w:rsidR="009734FF" w:rsidRPr="00EC4B8A" w:rsidRDefault="009734FF" w:rsidP="009734FF">
      <w:pPr>
        <w:jc w:val="center"/>
        <w:rPr>
          <w:rFonts w:asciiTheme="minorHAnsi" w:hAnsiTheme="minorHAnsi"/>
          <w:i/>
          <w:color w:val="808080" w:themeColor="background1" w:themeShade="80"/>
          <w:sz w:val="20"/>
        </w:rPr>
      </w:pPr>
    </w:p>
    <w:p w14:paraId="64219762" w14:textId="77777777" w:rsidR="00EA1C30" w:rsidRPr="00E11382" w:rsidRDefault="00EA1C30" w:rsidP="00EA1C30">
      <w:pPr>
        <w:jc w:val="center"/>
        <w:rPr>
          <w:rFonts w:asciiTheme="minorHAnsi" w:hAnsiTheme="minorHAnsi"/>
          <w:i/>
          <w:color w:val="808080" w:themeColor="background1" w:themeShade="80"/>
          <w:sz w:val="20"/>
        </w:rPr>
      </w:pPr>
      <w:r w:rsidRPr="00E11382">
        <w:rPr>
          <w:rFonts w:asciiTheme="minorHAnsi" w:hAnsiTheme="minorHAnsi"/>
          <w:i/>
          <w:color w:val="808080" w:themeColor="background1" w:themeShade="80"/>
          <w:sz w:val="20"/>
        </w:rPr>
        <w:t xml:space="preserve">This </w:t>
      </w:r>
      <w:r w:rsidR="00470BB6">
        <w:rPr>
          <w:rFonts w:asciiTheme="minorHAnsi" w:hAnsiTheme="minorHAnsi"/>
          <w:i/>
          <w:color w:val="808080" w:themeColor="background1" w:themeShade="80"/>
          <w:sz w:val="20"/>
        </w:rPr>
        <w:t>template is based on PM² V3.0</w:t>
      </w:r>
    </w:p>
    <w:p w14:paraId="64219763" w14:textId="77777777" w:rsidR="0067688D" w:rsidRPr="00EC4B8A" w:rsidRDefault="00EA1C30" w:rsidP="00EA1C30">
      <w:pPr>
        <w:jc w:val="center"/>
        <w:rPr>
          <w:rFonts w:asciiTheme="minorHAnsi" w:hAnsiTheme="minorHAnsi"/>
          <w:i/>
          <w:color w:val="808080" w:themeColor="background1" w:themeShade="80"/>
          <w:sz w:val="20"/>
        </w:rPr>
      </w:pPr>
      <w:r w:rsidRPr="00E11382">
        <w:rPr>
          <w:rFonts w:asciiTheme="minorHAnsi" w:hAnsiTheme="minorHAnsi"/>
          <w:i/>
          <w:color w:val="808080" w:themeColor="background1" w:themeShade="80"/>
          <w:sz w:val="20"/>
        </w:rPr>
        <w:t>For the latest version of this template please visit the PM² Wiki</w:t>
      </w:r>
    </w:p>
    <w:p w14:paraId="64219764" w14:textId="77777777" w:rsidR="0067688D" w:rsidRPr="00EC4B8A" w:rsidRDefault="0067688D" w:rsidP="00ED5876">
      <w:pPr>
        <w:rPr>
          <w:rFonts w:asciiTheme="minorHAnsi" w:eastAsia="Calibri" w:hAnsiTheme="minorHAnsi" w:cs="Calibri"/>
          <w:szCs w:val="22"/>
        </w:rPr>
        <w:sectPr w:rsidR="0067688D" w:rsidRPr="00EC4B8A" w:rsidSect="000A0B3C">
          <w:headerReference w:type="default" r:id="rId14"/>
          <w:footerReference w:type="default" r:id="rId15"/>
          <w:pgSz w:w="11906" w:h="16838"/>
          <w:pgMar w:top="1032" w:right="1418" w:bottom="851" w:left="1985" w:header="709" w:footer="709" w:gutter="0"/>
          <w:cols w:space="708"/>
          <w:docGrid w:linePitch="360"/>
        </w:sectPr>
      </w:pPr>
    </w:p>
    <w:p w14:paraId="642197B7" w14:textId="77777777" w:rsidR="005616F6" w:rsidRDefault="005616F6" w:rsidP="005616F6">
      <w:pPr>
        <w:spacing w:after="0" w:line="276" w:lineRule="auto"/>
        <w:rPr>
          <w:rFonts w:asciiTheme="minorHAnsi" w:eastAsia="Calibri" w:hAnsiTheme="minorHAnsi" w:cstheme="minorHAnsi"/>
          <w:color w:val="000000" w:themeColor="text1"/>
          <w:szCs w:val="22"/>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8719"/>
      </w:tblGrid>
      <w:tr w:rsidR="005616F6" w14:paraId="642197BF" w14:textId="77777777" w:rsidTr="00ED7578">
        <w:tc>
          <w:tcPr>
            <w:tcW w:w="957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2197B8" w14:textId="77777777" w:rsidR="005616F6" w:rsidRDefault="005616F6" w:rsidP="00ED7578">
            <w:pPr>
              <w:spacing w:after="0" w:line="276" w:lineRule="auto"/>
              <w:rPr>
                <w:rFonts w:ascii="Calibri" w:hAnsi="Calibri"/>
                <w:i/>
                <w:color w:val="1B6FB5"/>
                <w:szCs w:val="22"/>
              </w:rPr>
            </w:pPr>
            <w:r>
              <w:rPr>
                <w:rFonts w:ascii="Calibri" w:hAnsi="Calibri"/>
                <w:i/>
                <w:color w:val="1B6FB5"/>
                <w:szCs w:val="22"/>
              </w:rPr>
              <w:t>&lt;These notes should be deleted in the final version :&gt;</w:t>
            </w:r>
          </w:p>
          <w:p w14:paraId="642197B9" w14:textId="77777777" w:rsidR="005616F6" w:rsidRDefault="005616F6" w:rsidP="00ED7578">
            <w:pPr>
              <w:spacing w:after="0" w:line="276" w:lineRule="auto"/>
              <w:rPr>
                <w:rFonts w:asciiTheme="minorHAnsi" w:eastAsia="Calibri" w:hAnsiTheme="minorHAnsi" w:cstheme="minorHAnsi"/>
                <w:b/>
                <w:color w:val="000000" w:themeColor="text1"/>
                <w:szCs w:val="22"/>
              </w:rPr>
            </w:pPr>
          </w:p>
          <w:p w14:paraId="642197BA" w14:textId="77777777" w:rsidR="005616F6" w:rsidRDefault="005616F6" w:rsidP="00ED7578">
            <w:pPr>
              <w:spacing w:after="0" w:line="276" w:lineRule="auto"/>
              <w:rPr>
                <w:rFonts w:asciiTheme="minorHAnsi" w:eastAsia="Calibri" w:hAnsiTheme="minorHAnsi" w:cstheme="minorHAnsi"/>
                <w:b/>
                <w:color w:val="000000" w:themeColor="text1"/>
                <w:szCs w:val="22"/>
              </w:rPr>
            </w:pPr>
            <w:r>
              <w:rPr>
                <w:rFonts w:asciiTheme="minorHAnsi" w:eastAsia="Calibri" w:hAnsiTheme="minorHAnsi" w:cstheme="minorHAnsi"/>
                <w:b/>
                <w:color w:val="000000" w:themeColor="text1"/>
                <w:szCs w:val="22"/>
              </w:rPr>
              <w:t>Notes for Templates:</w:t>
            </w:r>
          </w:p>
          <w:p w14:paraId="642197BB" w14:textId="77777777" w:rsidR="005616F6" w:rsidRDefault="005616F6" w:rsidP="005616F6">
            <w:pPr>
              <w:pStyle w:val="ListParagraph"/>
              <w:numPr>
                <w:ilvl w:val="0"/>
                <w:numId w:val="4"/>
              </w:numPr>
              <w:spacing w:line="276" w:lineRule="auto"/>
              <w:rPr>
                <w:rFonts w:cstheme="minorHAnsi"/>
                <w:b/>
                <w:color w:val="000000" w:themeColor="text1"/>
                <w:szCs w:val="22"/>
              </w:rPr>
            </w:pPr>
            <w:r>
              <w:rPr>
                <w:rFonts w:cstheme="minorHAnsi"/>
                <w:szCs w:val="22"/>
                <w:lang w:val="en-US"/>
              </w:rPr>
              <w:t xml:space="preserve">Text in </w:t>
            </w:r>
            <w:r>
              <w:rPr>
                <w:rFonts w:cstheme="minorHAnsi"/>
                <w:color w:val="984806" w:themeColor="accent6" w:themeShade="80"/>
                <w:szCs w:val="22"/>
                <w:lang w:val="en-US"/>
              </w:rPr>
              <w:t xml:space="preserve">&lt;orange&gt;: </w:t>
            </w:r>
            <w:proofErr w:type="gramStart"/>
            <w:r>
              <w:rPr>
                <w:rFonts w:cstheme="minorHAnsi"/>
                <w:szCs w:val="22"/>
                <w:lang w:val="en-US"/>
              </w:rPr>
              <w:t>has to</w:t>
            </w:r>
            <w:proofErr w:type="gramEnd"/>
            <w:r>
              <w:rPr>
                <w:rFonts w:cstheme="minorHAnsi"/>
                <w:szCs w:val="22"/>
                <w:lang w:val="en-US"/>
              </w:rPr>
              <w:t xml:space="preserve"> be defined.</w:t>
            </w:r>
          </w:p>
          <w:p w14:paraId="642197BC" w14:textId="77777777" w:rsidR="005616F6" w:rsidRDefault="005616F6" w:rsidP="005616F6">
            <w:pPr>
              <w:pStyle w:val="ListParagraph"/>
              <w:numPr>
                <w:ilvl w:val="0"/>
                <w:numId w:val="4"/>
              </w:numPr>
              <w:spacing w:line="276" w:lineRule="auto"/>
              <w:rPr>
                <w:rFonts w:cstheme="minorHAnsi"/>
                <w:b/>
                <w:color w:val="000000" w:themeColor="text1"/>
                <w:szCs w:val="22"/>
              </w:rPr>
            </w:pPr>
            <w:r>
              <w:rPr>
                <w:rFonts w:ascii="Calibri" w:hAnsi="Calibri"/>
                <w:szCs w:val="22"/>
              </w:rPr>
              <w:t xml:space="preserve">Text in &lt;blue&gt;: guidelines </w:t>
            </w:r>
            <w:r w:rsidR="00E15734">
              <w:rPr>
                <w:rFonts w:ascii="Calibri" w:hAnsi="Calibri"/>
                <w:szCs w:val="22"/>
              </w:rPr>
              <w:t>on</w:t>
            </w:r>
            <w:r>
              <w:rPr>
                <w:rFonts w:ascii="Calibri" w:hAnsi="Calibri"/>
                <w:szCs w:val="22"/>
              </w:rPr>
              <w:t xml:space="preserve"> how to use the Template. Should be deleted in the final version.</w:t>
            </w:r>
          </w:p>
          <w:p w14:paraId="642197BD" w14:textId="77777777" w:rsidR="005616F6" w:rsidRDefault="005616F6" w:rsidP="005616F6">
            <w:pPr>
              <w:pStyle w:val="ListParagraph"/>
              <w:numPr>
                <w:ilvl w:val="0"/>
                <w:numId w:val="4"/>
              </w:numPr>
              <w:spacing w:line="276" w:lineRule="auto"/>
              <w:rPr>
                <w:rFonts w:cstheme="minorHAnsi"/>
                <w:b/>
                <w:color w:val="000000" w:themeColor="text1"/>
                <w:szCs w:val="22"/>
              </w:rPr>
            </w:pPr>
            <w:r>
              <w:rPr>
                <w:rFonts w:ascii="Calibri" w:hAnsi="Calibri"/>
                <w:szCs w:val="22"/>
              </w:rPr>
              <w:t xml:space="preserve">Text in </w:t>
            </w:r>
            <w:r>
              <w:rPr>
                <w:rFonts w:ascii="Calibri" w:hAnsi="Calibri"/>
                <w:color w:val="005828"/>
                <w:szCs w:val="22"/>
              </w:rPr>
              <w:t xml:space="preserve">green: </w:t>
            </w:r>
            <w:r>
              <w:rPr>
                <w:rFonts w:ascii="Calibri" w:hAnsi="Calibri"/>
                <w:szCs w:val="22"/>
              </w:rPr>
              <w:t xml:space="preserve">can be customised. Should be </w:t>
            </w:r>
            <w:proofErr w:type="spellStart"/>
            <w:r>
              <w:rPr>
                <w:rFonts w:ascii="Calibri" w:hAnsi="Calibri"/>
                <w:szCs w:val="22"/>
              </w:rPr>
              <w:t>recolored</w:t>
            </w:r>
            <w:proofErr w:type="spellEnd"/>
            <w:r>
              <w:rPr>
                <w:rFonts w:ascii="Calibri" w:hAnsi="Calibri"/>
                <w:szCs w:val="22"/>
              </w:rPr>
              <w:t xml:space="preserve"> to black in the final version.</w:t>
            </w:r>
          </w:p>
          <w:p w14:paraId="642197BE" w14:textId="77777777" w:rsidR="005616F6" w:rsidRDefault="005616F6" w:rsidP="00ED7578">
            <w:pPr>
              <w:spacing w:after="0" w:line="276" w:lineRule="auto"/>
              <w:rPr>
                <w:rFonts w:asciiTheme="minorHAnsi" w:eastAsia="Calibri" w:hAnsiTheme="minorHAnsi" w:cstheme="minorHAnsi"/>
                <w:b/>
                <w:color w:val="000000" w:themeColor="text1"/>
                <w:szCs w:val="22"/>
              </w:rPr>
            </w:pPr>
          </w:p>
        </w:tc>
      </w:tr>
    </w:tbl>
    <w:p w14:paraId="642197C2" w14:textId="20296190" w:rsidR="0067688D" w:rsidRPr="000A0B3C" w:rsidRDefault="005616F6" w:rsidP="000A0B3C">
      <w:pPr>
        <w:spacing w:after="0" w:line="276" w:lineRule="auto"/>
        <w:rPr>
          <w:rFonts w:ascii="Calibri" w:eastAsia="Calibri" w:hAnsi="Calibri" w:cs="Calibri"/>
          <w:sz w:val="20"/>
        </w:rPr>
      </w:pPr>
      <w:r w:rsidRPr="00B33300">
        <w:rPr>
          <w:rFonts w:asciiTheme="minorHAnsi" w:eastAsia="Calibri" w:hAnsiTheme="minorHAnsi" w:cstheme="minorHAnsi"/>
          <w:color w:val="1B6FB5"/>
          <w:sz w:val="20"/>
        </w:rPr>
        <w:t xml:space="preserve"> </w:t>
      </w:r>
    </w:p>
    <w:tbl>
      <w:tblPr>
        <w:tblStyle w:val="TableGrid"/>
        <w:tblW w:w="8719" w:type="dxa"/>
        <w:tblLook w:val="04A0" w:firstRow="1" w:lastRow="0" w:firstColumn="1" w:lastColumn="0" w:noHBand="0" w:noVBand="1"/>
      </w:tblPr>
      <w:tblGrid>
        <w:gridCol w:w="1969"/>
        <w:gridCol w:w="266"/>
        <w:gridCol w:w="2551"/>
        <w:gridCol w:w="1985"/>
        <w:gridCol w:w="1948"/>
      </w:tblGrid>
      <w:tr w:rsidR="0067688D" w14:paraId="642197C5" w14:textId="77777777" w:rsidTr="4C29322B">
        <w:tc>
          <w:tcPr>
            <w:tcW w:w="2235" w:type="dxa"/>
            <w:gridSpan w:val="2"/>
            <w:shd w:val="clear" w:color="auto" w:fill="D9D9D9" w:themeFill="background1" w:themeFillShade="D9"/>
          </w:tcPr>
          <w:p w14:paraId="642197C3"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Project Title</w:t>
            </w:r>
            <w:r w:rsidR="00891471">
              <w:rPr>
                <w:rFonts w:asciiTheme="minorHAnsi" w:eastAsia="Calibri" w:hAnsiTheme="minorHAnsi" w:cs="Calibri"/>
                <w:b/>
                <w:sz w:val="20"/>
              </w:rPr>
              <w:t>:</w:t>
            </w:r>
          </w:p>
        </w:tc>
        <w:tc>
          <w:tcPr>
            <w:tcW w:w="6484" w:type="dxa"/>
            <w:gridSpan w:val="3"/>
          </w:tcPr>
          <w:p>
            <w:r>
              <w:t>ESABCC MethodHub</w:t>
            </w:r>
          </w:p>
        </w:tc>
      </w:tr>
      <w:tr w:rsidR="0067688D" w14:paraId="642197CA" w14:textId="77777777" w:rsidTr="4C29322B">
        <w:tc>
          <w:tcPr>
            <w:tcW w:w="2235" w:type="dxa"/>
            <w:gridSpan w:val="2"/>
            <w:shd w:val="clear" w:color="auto" w:fill="D9D9D9" w:themeFill="background1" w:themeFillShade="D9"/>
          </w:tcPr>
          <w:p w14:paraId="642197C6" w14:textId="77777777" w:rsidR="0067688D" w:rsidRPr="00891471" w:rsidRDefault="0067688D" w:rsidP="000A0B3C">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Initiator</w:t>
            </w:r>
            <w:r w:rsidR="00891471">
              <w:rPr>
                <w:rFonts w:asciiTheme="minorHAnsi" w:eastAsia="Calibri" w:hAnsiTheme="minorHAnsi" w:cs="Calibri"/>
                <w:b/>
                <w:sz w:val="20"/>
              </w:rPr>
              <w:t>:</w:t>
            </w:r>
          </w:p>
        </w:tc>
        <w:tc>
          <w:tcPr>
            <w:tcW w:w="2551" w:type="dxa"/>
          </w:tcPr>
          <w:p>
            <w:r>
              <w:t>Sebastian Franz (CCE5)</w:t>
            </w:r>
          </w:p>
        </w:tc>
        <w:tc>
          <w:tcPr>
            <w:tcW w:w="1985" w:type="dxa"/>
            <w:shd w:val="clear" w:color="auto" w:fill="D9D9D9" w:themeFill="background1" w:themeFillShade="D9"/>
          </w:tcPr>
          <w:p w14:paraId="642197C8" w14:textId="5E9F15D5" w:rsidR="0067688D" w:rsidRPr="00891471" w:rsidRDefault="00C92BF7" w:rsidP="000A0B3C">
            <w:pPr>
              <w:spacing w:after="0" w:line="276" w:lineRule="auto"/>
              <w:rPr>
                <w:rFonts w:asciiTheme="minorHAnsi" w:eastAsia="Calibri" w:hAnsiTheme="minorHAnsi" w:cs="Calibri"/>
                <w:b/>
                <w:sz w:val="20"/>
              </w:rPr>
            </w:pPr>
            <w:r>
              <w:rPr>
                <w:rFonts w:asciiTheme="minorHAnsi" w:eastAsia="Calibri" w:hAnsiTheme="minorHAnsi" w:cs="Calibri"/>
                <w:b/>
                <w:sz w:val="20"/>
              </w:rPr>
              <w:t>Group</w:t>
            </w:r>
            <w:r w:rsidR="00891471">
              <w:rPr>
                <w:rFonts w:asciiTheme="minorHAnsi" w:eastAsia="Calibri" w:hAnsiTheme="minorHAnsi" w:cs="Calibri"/>
                <w:b/>
                <w:sz w:val="20"/>
              </w:rPr>
              <w:t>:</w:t>
            </w:r>
          </w:p>
        </w:tc>
        <w:tc>
          <w:tcPr>
            <w:tcW w:w="1948" w:type="dxa"/>
          </w:tcPr>
          <w:p>
            <w:r>
              <w:t>CCE5</w:t>
            </w:r>
          </w:p>
        </w:tc>
      </w:tr>
      <w:tr w:rsidR="007B42FA" w14:paraId="642197CF" w14:textId="77777777" w:rsidTr="4C29322B">
        <w:tc>
          <w:tcPr>
            <w:tcW w:w="2235" w:type="dxa"/>
            <w:gridSpan w:val="2"/>
            <w:shd w:val="clear" w:color="auto" w:fill="D9D9D9" w:themeFill="background1" w:themeFillShade="D9"/>
          </w:tcPr>
          <w:p w14:paraId="642197CB" w14:textId="77777777" w:rsidR="007B42FA" w:rsidRPr="00891471" w:rsidRDefault="007B42FA" w:rsidP="007B42FA">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 xml:space="preserve">Project Owner (PO): </w:t>
            </w:r>
          </w:p>
        </w:tc>
        <w:tc>
          <w:tcPr>
            <w:tcW w:w="2551" w:type="dxa"/>
          </w:tcPr>
          <w:p>
            <w:r>
              <w:t>CCE5 Head of Unit</w:t>
            </w:r>
          </w:p>
        </w:tc>
        <w:tc>
          <w:tcPr>
            <w:tcW w:w="1985" w:type="dxa"/>
            <w:shd w:val="clear" w:color="auto" w:fill="D9D9D9" w:themeFill="background1" w:themeFillShade="D9"/>
          </w:tcPr>
          <w:p w14:paraId="642197CD" w14:textId="2275C282" w:rsidR="007B42FA" w:rsidRPr="00891471" w:rsidRDefault="007B42FA" w:rsidP="007B42FA">
            <w:pPr>
              <w:spacing w:after="0" w:line="276" w:lineRule="auto"/>
              <w:jc w:val="left"/>
              <w:rPr>
                <w:rFonts w:asciiTheme="minorHAnsi" w:eastAsia="Calibri" w:hAnsiTheme="minorHAnsi" w:cs="Calibri"/>
                <w:b/>
                <w:sz w:val="20"/>
              </w:rPr>
            </w:pPr>
            <w:r w:rsidRPr="00891471">
              <w:rPr>
                <w:rFonts w:asciiTheme="minorHAnsi" w:eastAsia="Calibri" w:hAnsiTheme="minorHAnsi" w:cs="Calibri"/>
                <w:b/>
                <w:sz w:val="20"/>
              </w:rPr>
              <w:t>Solution Provider (SP):</w:t>
            </w:r>
          </w:p>
        </w:tc>
        <w:tc>
          <w:tcPr>
            <w:tcW w:w="1948" w:type="dxa"/>
          </w:tcPr>
          <w:p>
            <w:r>
              <w:t>EEA DTL1 (IT Infrastructure &amp; Services) in cooperation with the CCE5.</w:t>
            </w:r>
          </w:p>
        </w:tc>
      </w:tr>
      <w:tr w:rsidR="00FD4694" w14:paraId="642197D9" w14:textId="77777777" w:rsidTr="4C29322B">
        <w:trPr>
          <w:trHeight w:val="653"/>
        </w:trPr>
        <w:tc>
          <w:tcPr>
            <w:tcW w:w="2235" w:type="dxa"/>
            <w:gridSpan w:val="2"/>
            <w:vMerge w:val="restart"/>
            <w:shd w:val="clear" w:color="auto" w:fill="D9D9D9" w:themeFill="background1" w:themeFillShade="D9"/>
          </w:tcPr>
          <w:p w14:paraId="642197D5" w14:textId="6B19EC95" w:rsidR="00FD4694" w:rsidRPr="00891471" w:rsidRDefault="00FD4694" w:rsidP="00570F5F">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Type of Delivery</w:t>
            </w:r>
            <w:r>
              <w:rPr>
                <w:rFonts w:asciiTheme="minorHAnsi" w:eastAsia="Calibri" w:hAnsiTheme="minorHAnsi" w:cs="Calibri"/>
                <w:b/>
                <w:sz w:val="20"/>
              </w:rPr>
              <w:t>:</w:t>
            </w:r>
          </w:p>
        </w:tc>
        <w:tc>
          <w:tcPr>
            <w:tcW w:w="2551" w:type="dxa"/>
            <w:vMerge w:val="restart"/>
          </w:tcPr>
          <w:p w14:paraId="3943918E" w14:textId="2773A041" w:rsidR="00FD4694" w:rsidRPr="005F0725" w:rsidRDefault="00000000" w:rsidP="005F0725">
            <w:pPr>
              <w:spacing w:after="0" w:line="276" w:lineRule="auto"/>
              <w:rPr>
                <w:rFonts w:asciiTheme="minorHAnsi" w:hAnsiTheme="minorHAnsi" w:cs="Calibri"/>
              </w:rPr>
            </w:pPr>
            <w:sdt>
              <w:sdtPr>
                <w:rPr>
                  <w:rFonts w:asciiTheme="minorHAnsi" w:hAnsiTheme="minorHAnsi" w:cs="Calibri"/>
                </w:rPr>
                <w:id w:val="1144778399"/>
                <w14:checkbox>
                  <w14:checked w14:val="1"/>
                  <w14:checkedState w14:val="2612" w14:font="MS Gothic"/>
                  <w14:uncheckedState w14:val="2610" w14:font="MS Gothic"/>
                </w14:checkbox>
              </w:sdtPr>
              <w:sdtContent>
                <w:r w:rsidR="00FD4694">
                  <w:rPr>
                    <w:rFonts w:ascii="MS Gothic" w:eastAsia="MS Gothic" w:hAnsi="MS Gothic" w:cs="Calibri" w:hint="eastAsia"/>
                  </w:rPr>
                  <w:t>☒</w:t>
                </w:r>
              </w:sdtContent>
            </w:sdt>
            <w:r w:rsidR="00FD4694">
              <w:rPr>
                <w:rFonts w:asciiTheme="minorHAnsi" w:hAnsiTheme="minorHAnsi" w:cs="Calibri"/>
              </w:rPr>
              <w:t xml:space="preserve"> </w:t>
            </w:r>
            <w:r w:rsidR="00FD4694" w:rsidRPr="005F0725">
              <w:rPr>
                <w:rFonts w:asciiTheme="minorHAnsi" w:hAnsiTheme="minorHAnsi" w:cs="Calibri"/>
              </w:rPr>
              <w:t>In-house</w:t>
            </w:r>
          </w:p>
          <w:p w14:paraId="7033B40C" w14:textId="19D7B5F5" w:rsidR="00FD4694" w:rsidRPr="005F0725" w:rsidRDefault="00000000" w:rsidP="005F0725">
            <w:pPr>
              <w:spacing w:after="0" w:line="276" w:lineRule="auto"/>
              <w:rPr>
                <w:rFonts w:asciiTheme="minorHAnsi" w:hAnsiTheme="minorHAnsi" w:cs="Calibri"/>
              </w:rPr>
            </w:pPr>
            <w:sdt>
              <w:sdtPr>
                <w:rPr>
                  <w:rFonts w:asciiTheme="minorHAnsi" w:hAnsiTheme="minorHAnsi" w:cs="Calibri"/>
                </w:rPr>
                <w:id w:val="615488744"/>
                <w14:checkbox>
                  <w14:checked w14:val="0"/>
                  <w14:checkedState w14:val="2612" w14:font="MS Gothic"/>
                  <w14:uncheckedState w14:val="2610" w14:font="MS Gothic"/>
                </w14:checkbox>
              </w:sdtPr>
              <w:sdtContent>
                <w:r w:rsidR="00FD4694">
                  <w:rPr>
                    <w:rFonts w:ascii="MS Gothic" w:eastAsia="MS Gothic" w:hAnsi="MS Gothic" w:cs="Calibri" w:hint="eastAsia"/>
                  </w:rPr>
                  <w:t>☐</w:t>
                </w:r>
              </w:sdtContent>
            </w:sdt>
            <w:r w:rsidR="00FD4694">
              <w:rPr>
                <w:rFonts w:asciiTheme="minorHAnsi" w:hAnsiTheme="minorHAnsi" w:cs="Calibri"/>
              </w:rPr>
              <w:t xml:space="preserve"> </w:t>
            </w:r>
            <w:r w:rsidR="00FD4694" w:rsidRPr="005F0725">
              <w:rPr>
                <w:rFonts w:asciiTheme="minorHAnsi" w:hAnsiTheme="minorHAnsi" w:cs="Calibri"/>
              </w:rPr>
              <w:t>Outsourced</w:t>
            </w:r>
          </w:p>
          <w:p w14:paraId="0A8F2ACC" w14:textId="036C3167" w:rsidR="00FD4694" w:rsidRPr="005F0725" w:rsidRDefault="00000000" w:rsidP="005F0725">
            <w:pPr>
              <w:spacing w:after="0" w:line="276" w:lineRule="auto"/>
              <w:rPr>
                <w:rFonts w:asciiTheme="minorHAnsi" w:hAnsiTheme="minorHAnsi" w:cs="Calibri"/>
              </w:rPr>
            </w:pPr>
            <w:sdt>
              <w:sdtPr>
                <w:rPr>
                  <w:rFonts w:asciiTheme="minorHAnsi" w:hAnsiTheme="minorHAnsi" w:cs="Calibri"/>
                </w:rPr>
                <w:id w:val="-1858645194"/>
                <w14:checkbox>
                  <w14:checked w14:val="0"/>
                  <w14:checkedState w14:val="2612" w14:font="MS Gothic"/>
                  <w14:uncheckedState w14:val="2610" w14:font="MS Gothic"/>
                </w14:checkbox>
              </w:sdtPr>
              <w:sdtContent>
                <w:r w:rsidR="00FD4694">
                  <w:rPr>
                    <w:rFonts w:ascii="MS Gothic" w:eastAsia="MS Gothic" w:hAnsi="MS Gothic" w:cs="Calibri" w:hint="eastAsia"/>
                  </w:rPr>
                  <w:t>☐</w:t>
                </w:r>
              </w:sdtContent>
            </w:sdt>
            <w:r w:rsidR="00FD4694">
              <w:rPr>
                <w:rFonts w:asciiTheme="minorHAnsi" w:hAnsiTheme="minorHAnsi" w:cs="Calibri"/>
              </w:rPr>
              <w:t xml:space="preserve"> </w:t>
            </w:r>
            <w:r w:rsidR="00FD4694" w:rsidRPr="005F0725">
              <w:rPr>
                <w:rFonts w:asciiTheme="minorHAnsi" w:hAnsiTheme="minorHAnsi" w:cs="Calibri"/>
              </w:rPr>
              <w:t>Mix</w:t>
            </w:r>
          </w:p>
          <w:p w14:paraId="642197D6" w14:textId="68AFF523" w:rsidR="00FD4694" w:rsidRPr="00570F5F" w:rsidRDefault="00000000" w:rsidP="005F0725">
            <w:pPr>
              <w:spacing w:after="0" w:line="276" w:lineRule="auto"/>
              <w:rPr>
                <w:rFonts w:asciiTheme="minorHAnsi" w:hAnsiTheme="minorHAnsi" w:cs="Calibri"/>
              </w:rPr>
            </w:pPr>
            <w:sdt>
              <w:sdtPr>
                <w:rPr>
                  <w:rFonts w:asciiTheme="minorHAnsi" w:hAnsiTheme="minorHAnsi" w:cs="Calibri"/>
                </w:rPr>
                <w:id w:val="1414047131"/>
                <w14:checkbox>
                  <w14:checked w14:val="0"/>
                  <w14:checkedState w14:val="2612" w14:font="MS Gothic"/>
                  <w14:uncheckedState w14:val="2610" w14:font="MS Gothic"/>
                </w14:checkbox>
              </w:sdtPr>
              <w:sdtContent>
                <w:r w:rsidR="00FD4694">
                  <w:rPr>
                    <w:rFonts w:ascii="MS Gothic" w:eastAsia="MS Gothic" w:hAnsi="MS Gothic" w:cs="Calibri" w:hint="eastAsia"/>
                  </w:rPr>
                  <w:t>☐</w:t>
                </w:r>
              </w:sdtContent>
            </w:sdt>
            <w:r w:rsidR="00FD4694">
              <w:rPr>
                <w:rFonts w:asciiTheme="minorHAnsi" w:hAnsiTheme="minorHAnsi" w:cs="Calibri"/>
              </w:rPr>
              <w:t xml:space="preserve"> </w:t>
            </w:r>
            <w:proofErr w:type="gramStart"/>
            <w:r w:rsidR="00FD4694" w:rsidRPr="005F0725">
              <w:rPr>
                <w:rFonts w:asciiTheme="minorHAnsi" w:hAnsiTheme="minorHAnsi" w:cs="Calibri"/>
              </w:rPr>
              <w:t>Not-known</w:t>
            </w:r>
            <w:proofErr w:type="gramEnd"/>
          </w:p>
        </w:tc>
        <w:tc>
          <w:tcPr>
            <w:tcW w:w="1985" w:type="dxa"/>
            <w:shd w:val="clear" w:color="auto" w:fill="D9D9D9" w:themeFill="background1" w:themeFillShade="D9"/>
          </w:tcPr>
          <w:p w14:paraId="642197D7" w14:textId="4C970182" w:rsidR="00FD4694" w:rsidRPr="00891471" w:rsidRDefault="00FD4694" w:rsidP="00570F5F">
            <w:pPr>
              <w:spacing w:after="0" w:line="276" w:lineRule="auto"/>
              <w:rPr>
                <w:rFonts w:asciiTheme="minorHAnsi" w:eastAsia="Calibri" w:hAnsiTheme="minorHAnsi" w:cs="Calibri"/>
                <w:b/>
                <w:sz w:val="20"/>
              </w:rPr>
            </w:pPr>
            <w:r>
              <w:rPr>
                <w:rFonts w:asciiTheme="minorHAnsi" w:eastAsia="Calibri" w:hAnsiTheme="minorHAnsi" w:cs="Calibri"/>
                <w:b/>
                <w:sz w:val="20"/>
              </w:rPr>
              <w:t xml:space="preserve">Start </w:t>
            </w:r>
            <w:r w:rsidR="00722636">
              <w:rPr>
                <w:rFonts w:asciiTheme="minorHAnsi" w:eastAsia="Calibri" w:hAnsiTheme="minorHAnsi" w:cs="Calibri"/>
                <w:b/>
                <w:sz w:val="20"/>
              </w:rPr>
              <w:t>Date:</w:t>
            </w:r>
          </w:p>
        </w:tc>
        <w:tc>
          <w:tcPr>
            <w:tcW w:w="1948" w:type="dxa"/>
          </w:tcPr>
          <w:p>
            <w:r>
              <w:t>Q2 2026</w:t>
            </w:r>
          </w:p>
        </w:tc>
      </w:tr>
      <w:tr w:rsidR="00FD4694" w14:paraId="5AC53DE3" w14:textId="77777777" w:rsidTr="4C29322B">
        <w:trPr>
          <w:trHeight w:val="652"/>
        </w:trPr>
        <w:tc>
          <w:tcPr>
            <w:tcW w:w="2235" w:type="dxa"/>
            <w:gridSpan w:val="2"/>
            <w:vMerge/>
          </w:tcPr>
          <w:p w14:paraId="6CC2807F" w14:textId="77777777" w:rsidR="00FD4694" w:rsidRPr="00891471" w:rsidRDefault="00FD4694" w:rsidP="00FD4694">
            <w:pPr>
              <w:spacing w:after="0" w:line="276" w:lineRule="auto"/>
              <w:rPr>
                <w:rFonts w:asciiTheme="minorHAnsi" w:eastAsia="Calibri" w:hAnsiTheme="minorHAnsi" w:cs="Calibri"/>
                <w:b/>
                <w:sz w:val="20"/>
              </w:rPr>
            </w:pPr>
          </w:p>
        </w:tc>
        <w:tc>
          <w:tcPr>
            <w:tcW w:w="2551" w:type="dxa"/>
            <w:vMerge/>
          </w:tcPr>
          <w:p w14:paraId="7CC86B0A" w14:textId="77777777" w:rsidR="00FD4694" w:rsidRDefault="00FD4694" w:rsidP="00FD4694">
            <w:pPr>
              <w:spacing w:after="0" w:line="276" w:lineRule="auto"/>
              <w:rPr>
                <w:rFonts w:asciiTheme="minorHAnsi" w:hAnsiTheme="minorHAnsi" w:cs="Calibri"/>
              </w:rPr>
            </w:pPr>
          </w:p>
        </w:tc>
        <w:tc>
          <w:tcPr>
            <w:tcW w:w="1985" w:type="dxa"/>
            <w:shd w:val="clear" w:color="auto" w:fill="D9D9D9" w:themeFill="background1" w:themeFillShade="D9"/>
          </w:tcPr>
          <w:p w14:paraId="2FBF55D8" w14:textId="32256902" w:rsidR="00FD4694" w:rsidRPr="00891471" w:rsidRDefault="00FD4694" w:rsidP="00FD4694">
            <w:pPr>
              <w:spacing w:after="0" w:line="276" w:lineRule="auto"/>
              <w:rPr>
                <w:rFonts w:asciiTheme="minorHAnsi" w:eastAsia="Calibri" w:hAnsiTheme="minorHAnsi" w:cs="Calibri"/>
                <w:b/>
                <w:sz w:val="20"/>
              </w:rPr>
            </w:pPr>
            <w:r w:rsidRPr="00891471">
              <w:rPr>
                <w:rFonts w:asciiTheme="minorHAnsi" w:eastAsia="Calibri" w:hAnsiTheme="minorHAnsi" w:cs="Calibri"/>
                <w:b/>
                <w:sz w:val="20"/>
              </w:rPr>
              <w:t>Target Delivery Date:</w:t>
            </w:r>
          </w:p>
        </w:tc>
        <w:tc>
          <w:tcPr>
            <w:tcW w:w="1948" w:type="dxa"/>
          </w:tcPr>
          <w:p>
            <w:r>
              <w:t>Q3 2026 (pilot on EEA infra); Q4 2026 (production cut-over)</w:t>
            </w:r>
          </w:p>
        </w:tc>
      </w:tr>
      <w:tr w:rsidR="00570F5F" w14:paraId="5F88CC8C" w14:textId="77777777" w:rsidTr="4C29322B">
        <w:trPr>
          <w:trHeight w:val="535"/>
        </w:trPr>
        <w:tc>
          <w:tcPr>
            <w:tcW w:w="2235" w:type="dxa"/>
            <w:gridSpan w:val="2"/>
            <w:shd w:val="clear" w:color="auto" w:fill="D9D9D9" w:themeFill="background1" w:themeFillShade="D9"/>
          </w:tcPr>
          <w:p w14:paraId="1EA33384" w14:textId="67F8F914" w:rsidR="00570F5F" w:rsidRPr="00891471" w:rsidRDefault="00570F5F" w:rsidP="00570F5F">
            <w:pPr>
              <w:spacing w:after="0" w:line="276" w:lineRule="auto"/>
              <w:rPr>
                <w:rFonts w:asciiTheme="minorHAnsi" w:eastAsia="Calibri" w:hAnsiTheme="minorHAnsi" w:cs="Calibri"/>
                <w:b/>
                <w:sz w:val="20"/>
              </w:rPr>
            </w:pPr>
            <w:r>
              <w:rPr>
                <w:rFonts w:asciiTheme="minorHAnsi" w:eastAsia="Calibri" w:hAnsiTheme="minorHAnsi" w:cs="Calibri"/>
                <w:b/>
                <w:sz w:val="20"/>
              </w:rPr>
              <w:t>Estimated budget:</w:t>
            </w:r>
          </w:p>
        </w:tc>
        <w:tc>
          <w:tcPr>
            <w:tcW w:w="6484" w:type="dxa"/>
            <w:gridSpan w:val="3"/>
          </w:tcPr>
          <w:p>
            <w:r>
              <w:t>No extra costs foreseen.</w:t>
            </w:r>
          </w:p>
          <w:p>
            <w:r/>
          </w:p>
          <w:p>
            <w:r>
              <w:t>Internal effort (PD/FTE, rough estimate):</w:t>
            </w:r>
          </w:p>
          <w:p>
            <w:r>
              <w:t>- DTL1 IT onboarding (container host, Postgres, OIDC, TLS): ~10-15 PD.</w:t>
            </w:r>
          </w:p>
          <w:p>
            <w:r>
              <w:t>- CCE5 (content, handover, user testing): ~10 PD.</w:t>
            </w:r>
          </w:p>
          <w:p>
            <w:r>
              <w:t>- Ongoing operations &amp; maintenance from 2027: ~5-10 PD/year (dependency updates, schema migrations, LLM model refresh).</w:t>
            </w:r>
          </w:p>
          <w:p>
            <w:r/>
          </w:p>
          <w:p>
            <w:r>
              <w:t>Recurring O&amp;M: negligible beyond the above; no paid third-party services once the EEA in-house LLM gateway replaces the external API keys.</w:t>
            </w:r>
          </w:p>
        </w:tc>
      </w:tr>
      <w:tr w:rsidR="00570F5F" w14:paraId="642197DE" w14:textId="77777777" w:rsidTr="4C29322B">
        <w:tc>
          <w:tcPr>
            <w:tcW w:w="8719" w:type="dxa"/>
            <w:gridSpan w:val="5"/>
            <w:tcBorders>
              <w:bottom w:val="single" w:sz="4" w:space="0" w:color="auto"/>
            </w:tcBorders>
          </w:tcPr>
          <w:p w14:paraId="642197DD" w14:textId="77777777" w:rsidR="00570F5F" w:rsidRPr="00891471" w:rsidRDefault="00570F5F" w:rsidP="00570F5F">
            <w:pPr>
              <w:spacing w:after="0" w:line="276" w:lineRule="auto"/>
              <w:rPr>
                <w:rFonts w:asciiTheme="minorHAnsi" w:eastAsia="Calibri" w:hAnsiTheme="minorHAnsi" w:cs="Calibri"/>
                <w:sz w:val="20"/>
              </w:rPr>
            </w:pPr>
          </w:p>
        </w:tc>
      </w:tr>
      <w:tr w:rsidR="00570F5F" w14:paraId="642197E0" w14:textId="77777777" w:rsidTr="4C29322B">
        <w:tc>
          <w:tcPr>
            <w:tcW w:w="8719" w:type="dxa"/>
            <w:gridSpan w:val="5"/>
            <w:shd w:val="clear" w:color="auto" w:fill="D9D9D9" w:themeFill="background1" w:themeFillShade="D9"/>
          </w:tcPr>
          <w:p w14:paraId="642197DF" w14:textId="77777777" w:rsidR="00570F5F" w:rsidRPr="00891471" w:rsidRDefault="00570F5F" w:rsidP="00570F5F">
            <w:pPr>
              <w:spacing w:after="0" w:line="276" w:lineRule="auto"/>
              <w:rPr>
                <w:rFonts w:asciiTheme="minorHAnsi" w:eastAsia="Calibri" w:hAnsiTheme="minorHAnsi" w:cs="Calibri"/>
                <w:sz w:val="20"/>
              </w:rPr>
            </w:pPr>
            <w:r w:rsidRPr="00C93880">
              <w:rPr>
                <w:rFonts w:asciiTheme="minorHAnsi" w:eastAsia="Calibri" w:hAnsiTheme="minorHAnsi" w:cs="Calibri"/>
                <w:b/>
                <w:szCs w:val="22"/>
              </w:rPr>
              <w:t>Context/ Situation</w:t>
            </w:r>
            <w:r w:rsidRPr="00891471">
              <w:rPr>
                <w:rFonts w:asciiTheme="minorHAnsi" w:eastAsia="Calibri" w:hAnsiTheme="minorHAnsi" w:cs="Calibri"/>
                <w:sz w:val="20"/>
              </w:rPr>
              <w:t xml:space="preserve"> </w:t>
            </w:r>
            <w:r w:rsidRPr="00C93880">
              <w:rPr>
                <w:rFonts w:asciiTheme="minorHAnsi" w:eastAsia="Calibri" w:hAnsiTheme="minorHAnsi" w:cs="Calibri"/>
                <w:i/>
                <w:szCs w:val="22"/>
              </w:rPr>
              <w:t>(Business Need/ Problem / Opportunity)</w:t>
            </w:r>
          </w:p>
        </w:tc>
      </w:tr>
      <w:tr w:rsidR="00570F5F" w14:paraId="642197E5" w14:textId="77777777" w:rsidTr="4C29322B">
        <w:tc>
          <w:tcPr>
            <w:tcW w:w="8719" w:type="dxa"/>
            <w:gridSpan w:val="5"/>
            <w:tcBorders>
              <w:bottom w:val="single" w:sz="4" w:space="0" w:color="auto"/>
            </w:tcBorders>
          </w:tcPr>
          <w:p>
            <w:r>
              <w:t>CCE5 has developed an internal analyst toolbox — the ESABCC MethodHub — that we want to start using as a team. Before we do, we want to set it up correctly and align it with EEA IT infrastructure guidelines and EEA compliance requirements. This PIR is the request for IT to host the tool in that aligned way.</w:t>
            </w:r>
          </w:p>
          <w:p>
            <w:r/>
          </w:p>
          <w:p>
            <w:r>
              <w:t>This tool is intended from day one to be internal-only. It will not be exposed to the public web and will only be accessible to CCE5 members (and, where relevant, named EEA colleagues we invite).</w:t>
            </w:r>
          </w:p>
          <w:p>
            <w:r/>
          </w:p>
          <w:p>
            <w:r>
              <w:t>Once set up properly, MethodHub will become a key module for CCE5 to improve efficiency and scientific rigour. It bundles five focused analyst workflows (Policy Navigator, References, Scenarios, News Feed, Content Analysis) that today sit in several separate tools or spreadsheets. Consolidating them in one internal tool — with shared annotations, shared references and shared coding — is the core value.</w:t>
            </w:r>
          </w:p>
          <w:p>
            <w:r/>
          </w:p>
          <w:p>
            <w:r>
              <w:t>A second, equally important point: CCE5 needs to be able to continue to ship code and adjust the codebase as the scientific work evolves. Whatever hosting arrangement IT chooses, it must keep our ability to update dependencies, change schemas, refine modules and push new features. A fully frozen / outsourced operation would defeat the purpose of building the tool internally.</w:t>
            </w:r>
          </w:p>
        </w:tc>
      </w:tr>
      <w:tr w:rsidR="00570F5F" w14:paraId="642197E7" w14:textId="77777777" w:rsidTr="4C29322B">
        <w:tc>
          <w:tcPr>
            <w:tcW w:w="8719" w:type="dxa"/>
            <w:gridSpan w:val="5"/>
            <w:shd w:val="clear" w:color="auto" w:fill="D9D9D9" w:themeFill="background1" w:themeFillShade="D9"/>
          </w:tcPr>
          <w:p w14:paraId="642197E6" w14:textId="324A76F1" w:rsidR="00570F5F" w:rsidRPr="00891471" w:rsidRDefault="00570F5F" w:rsidP="00570F5F">
            <w:pPr>
              <w:spacing w:after="0" w:line="276" w:lineRule="auto"/>
              <w:rPr>
                <w:rFonts w:asciiTheme="minorHAnsi" w:eastAsia="Calibri" w:hAnsiTheme="minorHAnsi" w:cs="Calibri"/>
                <w:sz w:val="20"/>
              </w:rPr>
            </w:pPr>
            <w:r>
              <w:rPr>
                <w:rFonts w:asciiTheme="minorHAnsi" w:hAnsiTheme="minorHAnsi" w:cs="Calibri"/>
                <w:b/>
              </w:rPr>
              <w:t xml:space="preserve">EEA’s strategic goal / </w:t>
            </w:r>
            <w:r w:rsidRPr="00891471">
              <w:rPr>
                <w:rFonts w:asciiTheme="minorHAnsi" w:hAnsiTheme="minorHAnsi" w:cs="Calibri"/>
                <w:b/>
              </w:rPr>
              <w:t>Legal Basis</w:t>
            </w:r>
          </w:p>
        </w:tc>
      </w:tr>
      <w:tr w:rsidR="00570F5F" w14:paraId="642197EC" w14:textId="77777777" w:rsidTr="4C29322B">
        <w:tc>
          <w:tcPr>
            <w:tcW w:w="8719" w:type="dxa"/>
            <w:gridSpan w:val="5"/>
            <w:tcBorders>
              <w:bottom w:val="single" w:sz="4" w:space="0" w:color="auto"/>
            </w:tcBorders>
          </w:tcPr>
          <w:p>
            <w:r>
              <w:t>MethodHub supports CCE5's work on EU climate policy advice (in the context of Regulation (EU) 2021/1119, the European Climate Law) and aligns with:</w:t>
            </w:r>
          </w:p>
          <w:p>
            <w:r>
              <w:t>- EEA IT Strategy — consolidating internal tools onto EEA-managed infrastructure.</w:t>
            </w:r>
          </w:p>
          <w:p>
            <w:r>
              <w:t>- EEA data-sovereignty posture — user data stored in the EU on EEA-controlled systems.</w:t>
            </w:r>
          </w:p>
          <w:p>
            <w:r>
              <w:t>- EU AI Act alignment — LLM calls routed through an EEA-governed endpoint.</w:t>
            </w:r>
          </w:p>
        </w:tc>
      </w:tr>
      <w:tr w:rsidR="00570F5F" w14:paraId="642197EE" w14:textId="77777777" w:rsidTr="4C29322B">
        <w:tc>
          <w:tcPr>
            <w:tcW w:w="8719" w:type="dxa"/>
            <w:gridSpan w:val="5"/>
            <w:shd w:val="clear" w:color="auto" w:fill="D9D9D9" w:themeFill="background1" w:themeFillShade="D9"/>
          </w:tcPr>
          <w:p w14:paraId="642197ED" w14:textId="1C818CE3" w:rsidR="00570F5F" w:rsidRPr="00C93880" w:rsidRDefault="00570F5F" w:rsidP="00570F5F">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t>Outcomes</w:t>
            </w:r>
            <w:r w:rsidRPr="00417ED4">
              <w:rPr>
                <w:rFonts w:asciiTheme="minorHAnsi" w:hAnsiTheme="minorHAnsi" w:cs="Calibri"/>
                <w:b/>
                <w:bCs/>
                <w:szCs w:val="22"/>
              </w:rPr>
              <w:t xml:space="preserve"> </w:t>
            </w:r>
            <w:r w:rsidR="00417ED4" w:rsidRPr="00417ED4">
              <w:rPr>
                <w:rFonts w:asciiTheme="minorHAnsi" w:hAnsiTheme="minorHAnsi" w:cs="Calibri"/>
                <w:b/>
                <w:bCs/>
                <w:szCs w:val="22"/>
              </w:rPr>
              <w:t>/ Benefits</w:t>
            </w:r>
            <w:r w:rsidR="00417ED4">
              <w:rPr>
                <w:rFonts w:asciiTheme="minorHAnsi" w:hAnsiTheme="minorHAnsi" w:cs="Calibri"/>
                <w:szCs w:val="22"/>
              </w:rPr>
              <w:t xml:space="preserve"> </w:t>
            </w:r>
            <w:r w:rsidRPr="00C93880">
              <w:rPr>
                <w:rFonts w:asciiTheme="minorHAnsi" w:hAnsiTheme="minorHAnsi" w:cs="Calibri"/>
                <w:i/>
                <w:szCs w:val="22"/>
              </w:rPr>
              <w:t>(high level)</w:t>
            </w:r>
          </w:p>
        </w:tc>
      </w:tr>
      <w:tr w:rsidR="00570F5F" w14:paraId="642197F3" w14:textId="77777777" w:rsidTr="4C29322B">
        <w:tc>
          <w:tcPr>
            <w:tcW w:w="8719" w:type="dxa"/>
            <w:gridSpan w:val="5"/>
            <w:tcBorders>
              <w:bottom w:val="single" w:sz="4" w:space="0" w:color="auto"/>
            </w:tcBorders>
          </w:tcPr>
          <w:p>
            <w:r>
              <w:t>- An internal-only MethodHub instance, hosted on EEA infrastructure, that CCE5 can start using as a team.</w:t>
            </w:r>
          </w:p>
          <w:p>
            <w:r>
              <w:t>- The five modules (Policy Navigator, References, Scenarios, News Feed, Content Analysis) available to CCE5 members.</w:t>
            </w:r>
          </w:p>
          <w:p>
            <w:r>
              <w:t>- Sign-in handled in a way that is secure and EEA-approved (the exact mechanism — EU Login, Azure AD, or another DTL1-endorsed option — is for IT to choose).</w:t>
            </w:r>
          </w:p>
          <w:p>
            <w:r>
              <w:t>- User data stored in an EEA-managed Postgres in the EU, with backups.</w:t>
            </w:r>
          </w:p>
          <w:p>
            <w:r>
              <w:t>- AI features routed through the EEA in-house LLM gateway instead of external providers.</w:t>
            </w:r>
          </w:p>
          <w:p>
            <w:r>
              <w:t>- A workflow that lets CCE5 continue to ship code changes to the tool after cut-over (pipeline, staging, deploy path — to be agreed with DTL1).</w:t>
            </w:r>
          </w:p>
        </w:tc>
      </w:tr>
      <w:tr w:rsidR="00570F5F" w14:paraId="642197F5" w14:textId="77777777" w:rsidTr="4C29322B">
        <w:tc>
          <w:tcPr>
            <w:tcW w:w="8719" w:type="dxa"/>
            <w:gridSpan w:val="5"/>
            <w:shd w:val="clear" w:color="auto" w:fill="D9D9D9" w:themeFill="background1" w:themeFillShade="D9"/>
          </w:tcPr>
          <w:p w14:paraId="642197F4" w14:textId="573ECA1C" w:rsidR="00570F5F" w:rsidRPr="00C93880" w:rsidRDefault="00570F5F" w:rsidP="00570F5F">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lastRenderedPageBreak/>
              <w:t>Impact</w:t>
            </w:r>
            <w:r w:rsidRPr="00C93880">
              <w:rPr>
                <w:rFonts w:asciiTheme="minorHAnsi" w:hAnsiTheme="minorHAnsi" w:cs="Calibri"/>
                <w:szCs w:val="22"/>
              </w:rPr>
              <w:t xml:space="preserve"> </w:t>
            </w:r>
            <w:r w:rsidRPr="00C93880">
              <w:rPr>
                <w:rFonts w:asciiTheme="minorHAnsi" w:hAnsiTheme="minorHAnsi" w:cs="Calibri"/>
                <w:i/>
                <w:szCs w:val="22"/>
              </w:rPr>
              <w:t>(</w:t>
            </w:r>
            <w:r w:rsidR="0050142B">
              <w:rPr>
                <w:rFonts w:asciiTheme="minorHAnsi" w:hAnsiTheme="minorHAnsi" w:cs="Calibri"/>
                <w:i/>
                <w:szCs w:val="22"/>
              </w:rPr>
              <w:t xml:space="preserve">optional - </w:t>
            </w:r>
            <w:r w:rsidRPr="00C93880">
              <w:rPr>
                <w:rFonts w:asciiTheme="minorHAnsi" w:hAnsiTheme="minorHAnsi" w:cs="Calibri"/>
                <w:i/>
                <w:szCs w:val="22"/>
              </w:rPr>
              <w:t>high level)</w:t>
            </w:r>
          </w:p>
        </w:tc>
      </w:tr>
      <w:tr w:rsidR="00570F5F" w14:paraId="642197F8" w14:textId="77777777" w:rsidTr="4C29322B">
        <w:tc>
          <w:tcPr>
            <w:tcW w:w="8719" w:type="dxa"/>
            <w:gridSpan w:val="5"/>
            <w:tcBorders>
              <w:bottom w:val="single" w:sz="4" w:space="0" w:color="auto"/>
            </w:tcBorders>
          </w:tcPr>
          <w:p>
            <w:r>
              <w:t>Internal only — this tool is not public.</w:t>
            </w:r>
          </w:p>
          <w:p>
            <w:r/>
          </w:p>
          <w:p>
            <w:r>
              <w:t>For CCE5:</w:t>
            </w:r>
          </w:p>
          <w:p>
            <w:r>
              <w:t>- A single internal workspace for the five analyst workflows, replacing scattered tools.</w:t>
            </w:r>
          </w:p>
          <w:p>
            <w:r>
              <w:t>- Expected improvement in efficiency (less duplicated work across analysts) and scientific rigour (shared annotations, shared references, shared coded documents).</w:t>
            </w:r>
          </w:p>
          <w:p>
            <w:r>
              <w:t>- Continued ability to evolve the tool as the scientific work evolves.</w:t>
            </w:r>
          </w:p>
          <w:p>
            <w:r/>
          </w:p>
          <w:p>
            <w:r>
              <w:t>For DTL1:</w:t>
            </w:r>
          </w:p>
          <w:p>
            <w:r>
              <w:t>- One small internal web app to host, following standard EEA patterns (container + Postgres + reverse proxy + OIDC).</w:t>
            </w:r>
          </w:p>
          <w:p>
            <w:r>
              <w:t>- No external users, no public exposure.</w:t>
            </w:r>
          </w:p>
        </w:tc>
      </w:tr>
      <w:tr w:rsidR="00570F5F" w14:paraId="642197FA" w14:textId="77777777" w:rsidTr="4C29322B">
        <w:tc>
          <w:tcPr>
            <w:tcW w:w="8719" w:type="dxa"/>
            <w:gridSpan w:val="5"/>
            <w:shd w:val="clear" w:color="auto" w:fill="D9D9D9" w:themeFill="background1" w:themeFillShade="D9"/>
          </w:tcPr>
          <w:p w14:paraId="642197F9" w14:textId="77777777" w:rsidR="00570F5F" w:rsidRPr="00891471" w:rsidRDefault="00570F5F" w:rsidP="00570F5F">
            <w:pPr>
              <w:tabs>
                <w:tab w:val="left" w:pos="2612"/>
              </w:tabs>
              <w:spacing w:after="0" w:line="276" w:lineRule="auto"/>
              <w:rPr>
                <w:rFonts w:asciiTheme="minorHAnsi" w:eastAsia="Calibri" w:hAnsiTheme="minorHAnsi" w:cs="Calibri"/>
                <w:sz w:val="20"/>
              </w:rPr>
            </w:pPr>
            <w:r w:rsidRPr="00891471">
              <w:rPr>
                <w:rFonts w:asciiTheme="minorHAnsi" w:hAnsiTheme="minorHAnsi" w:cs="Calibri"/>
                <w:b/>
              </w:rPr>
              <w:t>Success Criteria</w:t>
            </w:r>
          </w:p>
        </w:tc>
      </w:tr>
      <w:tr w:rsidR="00570F5F" w14:paraId="642197FD" w14:textId="77777777" w:rsidTr="4C29322B">
        <w:tc>
          <w:tcPr>
            <w:tcW w:w="8719" w:type="dxa"/>
            <w:gridSpan w:val="5"/>
            <w:tcBorders>
              <w:bottom w:val="single" w:sz="4" w:space="0" w:color="auto"/>
            </w:tcBorders>
          </w:tcPr>
          <w:p>
            <w:r>
              <w:t>- CCE5 team is able to sign in and use all five modules from inside EEA infrastructure.</w:t>
            </w:r>
          </w:p>
          <w:p>
            <w:r>
              <w:t>- User data stays in the EU and is backed up.</w:t>
            </w:r>
          </w:p>
          <w:p>
            <w:r>
              <w:t>- No external LLM keys used in production; AI features go through the EEA in-house LLM gateway.</w:t>
            </w:r>
          </w:p>
          <w:p>
            <w:r>
              <w:t>- CCE5 is able to merge a code change and see it deployed through an agreed pipeline.</w:t>
            </w:r>
          </w:p>
          <w:p>
            <w:r>
              <w:t>- Tool is confirmed as internal-only (no public exposure).</w:t>
            </w:r>
          </w:p>
        </w:tc>
      </w:tr>
      <w:tr w:rsidR="00570F5F" w14:paraId="642197FF" w14:textId="77777777" w:rsidTr="4C29322B">
        <w:tc>
          <w:tcPr>
            <w:tcW w:w="8719" w:type="dxa"/>
            <w:gridSpan w:val="5"/>
            <w:shd w:val="clear" w:color="auto" w:fill="D9D9D9" w:themeFill="background1" w:themeFillShade="D9"/>
          </w:tcPr>
          <w:p w14:paraId="642197FE" w14:textId="77777777" w:rsidR="00570F5F" w:rsidRPr="00C93880" w:rsidRDefault="00570F5F" w:rsidP="00570F5F">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t>Assumptions</w:t>
            </w:r>
            <w:r w:rsidRPr="00C93880">
              <w:rPr>
                <w:rFonts w:asciiTheme="minorHAnsi" w:hAnsiTheme="minorHAnsi" w:cs="Calibri"/>
                <w:szCs w:val="22"/>
              </w:rPr>
              <w:t xml:space="preserve"> </w:t>
            </w:r>
            <w:r w:rsidRPr="00C93880">
              <w:rPr>
                <w:rFonts w:asciiTheme="minorHAnsi" w:hAnsiTheme="minorHAnsi" w:cs="Calibri"/>
                <w:i/>
                <w:szCs w:val="22"/>
              </w:rPr>
              <w:t>(high level)</w:t>
            </w:r>
          </w:p>
        </w:tc>
      </w:tr>
      <w:tr w:rsidR="00570F5F" w14:paraId="64219803" w14:textId="77777777" w:rsidTr="4C29322B">
        <w:tc>
          <w:tcPr>
            <w:tcW w:w="8719" w:type="dxa"/>
            <w:gridSpan w:val="5"/>
            <w:tcBorders>
              <w:bottom w:val="single" w:sz="4" w:space="0" w:color="auto"/>
            </w:tcBorders>
          </w:tcPr>
          <w:p>
            <w:r>
              <w:t>- DTL1 can provide a place to run the app, a Postgres database, a way to sign in securely, TLS and a domain, and access to the EEA in-house LLM gateway. The concrete choice of technology on each of those points is for DTL1 to make.</w:t>
            </w:r>
          </w:p>
          <w:p>
            <w:r>
              <w:t>- CCE5 owns the tool: content, product decisions, user support, and code changes. DTL1 owns hosting, database, backups, network, identity and the LLM gateway wiring.</w:t>
            </w:r>
          </w:p>
          <w:p>
            <w:r>
              <w:t>- CCE5 retains a development workflow (branches, review, deploy) that allows us to keep shipping improvements after cut-over.</w:t>
            </w:r>
          </w:p>
          <w:p>
            <w:r>
              <w:t>- Only the five production modules are in scope. Experimental routes in the repository (e.g. energy-system, maritime-aviation, climate-adaptation) are out of scope.</w:t>
            </w:r>
          </w:p>
        </w:tc>
      </w:tr>
      <w:tr w:rsidR="00570F5F" w14:paraId="64219805" w14:textId="77777777" w:rsidTr="4C29322B">
        <w:tc>
          <w:tcPr>
            <w:tcW w:w="8719" w:type="dxa"/>
            <w:gridSpan w:val="5"/>
            <w:shd w:val="clear" w:color="auto" w:fill="D9D9D9" w:themeFill="background1" w:themeFillShade="D9"/>
          </w:tcPr>
          <w:p w14:paraId="64219804" w14:textId="77777777" w:rsidR="00570F5F" w:rsidRPr="00C93880" w:rsidRDefault="00570F5F" w:rsidP="00570F5F">
            <w:pPr>
              <w:tabs>
                <w:tab w:val="left" w:pos="2612"/>
              </w:tabs>
              <w:spacing w:after="0" w:line="276" w:lineRule="auto"/>
              <w:rPr>
                <w:rFonts w:asciiTheme="minorHAnsi" w:eastAsia="Calibri" w:hAnsiTheme="minorHAnsi" w:cs="Calibri"/>
                <w:szCs w:val="22"/>
              </w:rPr>
            </w:pPr>
            <w:r w:rsidRPr="00C93880">
              <w:rPr>
                <w:rFonts w:asciiTheme="minorHAnsi" w:hAnsiTheme="minorHAnsi" w:cs="Calibri"/>
                <w:b/>
                <w:szCs w:val="22"/>
              </w:rPr>
              <w:t>Constraints</w:t>
            </w:r>
            <w:r w:rsidRPr="00C93880">
              <w:rPr>
                <w:rFonts w:asciiTheme="minorHAnsi" w:hAnsiTheme="minorHAnsi" w:cs="Calibri"/>
                <w:szCs w:val="22"/>
              </w:rPr>
              <w:t xml:space="preserve"> </w:t>
            </w:r>
            <w:r w:rsidRPr="00C93880">
              <w:rPr>
                <w:rFonts w:asciiTheme="minorHAnsi" w:hAnsiTheme="minorHAnsi" w:cs="Calibri"/>
                <w:i/>
                <w:szCs w:val="22"/>
              </w:rPr>
              <w:t>(high level)</w:t>
            </w:r>
          </w:p>
        </w:tc>
      </w:tr>
      <w:tr w:rsidR="00570F5F" w14:paraId="64219808" w14:textId="77777777" w:rsidTr="4C29322B">
        <w:tc>
          <w:tcPr>
            <w:tcW w:w="8719" w:type="dxa"/>
            <w:gridSpan w:val="5"/>
            <w:tcBorders>
              <w:bottom w:val="single" w:sz="4" w:space="0" w:color="auto"/>
            </w:tcBorders>
          </w:tcPr>
          <w:p>
            <w:r>
              <w:t>- Internal-only tool. No public access.</w:t>
            </w:r>
          </w:p>
          <w:p>
            <w:r>
              <w:t>- User data must stay in the EU and respect EEA retention / GDPR rules.</w:t>
            </w:r>
          </w:p>
          <w:p>
            <w:r>
              <w:t>- LLM calls must go through the EEA in-house LLM gateway, not external providers, in production.</w:t>
            </w:r>
          </w:p>
          <w:p>
            <w:r>
              <w:t>- CCE5 must retain the ability to change the codebase. A fully locked-down hosting arrangement that prevents code changes is not acceptable.</w:t>
            </w:r>
          </w:p>
          <w:p>
            <w:r>
              <w:t>- Source code stays on GitHub (consistent with github.com/eea); only the running service and the database move into EEA infrastructure.</w:t>
            </w:r>
          </w:p>
        </w:tc>
      </w:tr>
      <w:tr w:rsidR="00570F5F" w14:paraId="6421980A" w14:textId="77777777" w:rsidTr="4C29322B">
        <w:tc>
          <w:tcPr>
            <w:tcW w:w="8719" w:type="dxa"/>
            <w:gridSpan w:val="5"/>
            <w:shd w:val="clear" w:color="auto" w:fill="D9D9D9" w:themeFill="background1" w:themeFillShade="D9"/>
          </w:tcPr>
          <w:p w14:paraId="64219809" w14:textId="2D18F1CE" w:rsidR="00570F5F" w:rsidRPr="00C93880" w:rsidRDefault="00570F5F" w:rsidP="00570F5F">
            <w:pPr>
              <w:tabs>
                <w:tab w:val="left" w:pos="1808"/>
              </w:tabs>
              <w:spacing w:after="0" w:line="276" w:lineRule="auto"/>
              <w:rPr>
                <w:rFonts w:asciiTheme="minorHAnsi" w:eastAsia="Calibri" w:hAnsiTheme="minorHAnsi" w:cs="Calibri"/>
                <w:szCs w:val="22"/>
              </w:rPr>
            </w:pPr>
            <w:r w:rsidRPr="00C93880">
              <w:rPr>
                <w:rFonts w:asciiTheme="minorHAnsi" w:hAnsiTheme="minorHAnsi" w:cs="Calibri"/>
                <w:b/>
                <w:szCs w:val="22"/>
              </w:rPr>
              <w:t>Risks</w:t>
            </w:r>
            <w:r w:rsidR="006D2AAD">
              <w:rPr>
                <w:rFonts w:asciiTheme="minorHAnsi" w:hAnsiTheme="minorHAnsi" w:cs="Calibri"/>
                <w:szCs w:val="22"/>
              </w:rPr>
              <w:t xml:space="preserve"> </w:t>
            </w:r>
            <w:r w:rsidRPr="00C93880">
              <w:rPr>
                <w:rFonts w:asciiTheme="minorHAnsi" w:hAnsiTheme="minorHAnsi" w:cs="Calibri"/>
                <w:i/>
                <w:szCs w:val="22"/>
              </w:rPr>
              <w:t>(high level)</w:t>
            </w:r>
            <w:r w:rsidRPr="00C93880">
              <w:rPr>
                <w:rFonts w:asciiTheme="minorHAnsi" w:hAnsiTheme="minorHAnsi" w:cs="Calibri"/>
                <w:i/>
                <w:szCs w:val="22"/>
              </w:rPr>
              <w:tab/>
            </w:r>
          </w:p>
        </w:tc>
      </w:tr>
      <w:tr w:rsidR="00570F5F" w14:paraId="6421980D" w14:textId="77777777" w:rsidTr="4C29322B">
        <w:tc>
          <w:tcPr>
            <w:tcW w:w="8719" w:type="dxa"/>
            <w:gridSpan w:val="5"/>
          </w:tcPr>
          <w:p>
            <w:r>
              <w:t>- Deployment risk (low-medium): this is the first EEA-hosted setup of the tool. Some friction between the current Vercel/Supabase setup and the target EEA setup is likely. Mitigation: a staging cut-over before going live.</w:t>
            </w:r>
          </w:p>
          <w:p>
            <w:r>
              <w:t>- LLM governance risk (medium until cut-over): today the AI features call external providers. After routing through the EEA in-house LLM gateway this drops to low.</w:t>
            </w:r>
          </w:p>
          <w:p>
            <w:r>
              <w:t>- Key-person risk (medium): the tool was developed primarily by one engineer inside CCE5. Mitigation: the repository already contains deployment, database, GDPR and architecture documentation aimed at handover.</w:t>
            </w:r>
          </w:p>
          <w:p>
            <w:r>
              <w:t>- Scope creep (low): experimental modules exist in the repository; we are explicitly limiting this PIR to the five production modules.</w:t>
            </w:r>
          </w:p>
          <w:p>
            <w:r>
              <w:t>- Loss-of-agility risk: any arrangement where DTL1 owns all changes and CCE5 cannot ship code would defeat the point. Mitigation: agree a development workflow upfront.</w:t>
            </w:r>
          </w:p>
        </w:tc>
      </w:tr>
      <w:tr w:rsidR="006D2AAD" w14:paraId="74FA3633" w14:textId="77777777" w:rsidTr="4C29322B">
        <w:tc>
          <w:tcPr>
            <w:tcW w:w="1969" w:type="dxa"/>
            <w:shd w:val="clear" w:color="auto" w:fill="D9D9D9" w:themeFill="background1" w:themeFillShade="D9"/>
          </w:tcPr>
          <w:p w14:paraId="64DB9D93" w14:textId="2F0C1CB7" w:rsidR="006D2AAD" w:rsidRPr="005F599E" w:rsidRDefault="006D2AAD" w:rsidP="006D2AAD">
            <w:pPr>
              <w:tabs>
                <w:tab w:val="left" w:pos="1808"/>
              </w:tabs>
              <w:spacing w:after="0" w:line="276" w:lineRule="auto"/>
              <w:rPr>
                <w:rFonts w:ascii="Calibri" w:eastAsia="Calibri" w:hAnsi="Calibri"/>
                <w:i/>
                <w:color w:val="1B6FB5"/>
                <w:sz w:val="20"/>
              </w:rPr>
            </w:pPr>
            <w:r>
              <w:rPr>
                <w:rFonts w:asciiTheme="minorHAnsi" w:hAnsiTheme="minorHAnsi" w:cs="Calibri"/>
                <w:b/>
                <w:szCs w:val="22"/>
              </w:rPr>
              <w:t>EEA r</w:t>
            </w:r>
            <w:r w:rsidRPr="00C93880">
              <w:rPr>
                <w:rFonts w:asciiTheme="minorHAnsi" w:hAnsiTheme="minorHAnsi" w:cs="Calibri"/>
                <w:b/>
                <w:szCs w:val="22"/>
              </w:rPr>
              <w:t>isks</w:t>
            </w:r>
            <w:r>
              <w:rPr>
                <w:rFonts w:asciiTheme="minorHAnsi" w:hAnsiTheme="minorHAnsi" w:cs="Calibri"/>
                <w:b/>
                <w:szCs w:val="22"/>
              </w:rPr>
              <w:t xml:space="preserve"> level:</w:t>
            </w:r>
            <w:r w:rsidRPr="00C93880">
              <w:rPr>
                <w:rFonts w:asciiTheme="minorHAnsi" w:hAnsiTheme="minorHAnsi" w:cs="Calibri"/>
                <w:i/>
                <w:szCs w:val="22"/>
              </w:rPr>
              <w:tab/>
            </w:r>
          </w:p>
        </w:tc>
        <w:tc>
          <w:tcPr>
            <w:tcW w:w="6750" w:type="dxa"/>
            <w:gridSpan w:val="4"/>
          </w:tcPr>
          <w:p>
            <w:r>
              <w:t>Low.</w:t>
            </w:r>
          </w:p>
          <w:p>
            <w:r/>
          </w:p>
          <w:p>
            <w:r>
              <w:t>MethodHub is an internal tool for CCE5 (small team, roughly 15-25 named users). It is not exposed to the public, does not ingest personal data from external users, and does not feed other EEA systems. Impact of an outage is limited to CCE5's own workflow.</w:t>
            </w:r>
          </w:p>
          <w:p>
            <w:r/>
          </w:p>
          <w:p>
            <w:r>
              <w:t>AI Act risk level: minimal / limited. The LLM is used for text summarisation and suggested-code hints in a qualitative coding tool, always with the analyst in the loop. No automated decision-making. Routing through the EEA in-house LLM gateway keeps the governance footprint inside EEA.</w:t>
            </w:r>
          </w:p>
        </w:tc>
      </w:tr>
    </w:tbl>
    <w:p>
      <w:r>
        <w:br w:type="page"/>
      </w:r>
    </w:p>
    <w:p>
      <w:r>
        <w:rPr>
          <w:b/>
          <w:sz w:val="32"/>
        </w:rPr>
        <w:t>Architecture</w:t>
      </w:r>
    </w:p>
    <w:p>
      <w:r>
        <w:t>MethodHub is one small web application. There is nothing exotic in the stack. The intent of this section is to give DTL1 enough of a picture to decide how to host it; the concrete choices on each piece (which login provider, which container target, which storage backend) are for IT to make based on what EEA already runs. Whatever we settle on, two things must hold: the tool stays internal-only, and CCE5 keeps the ability to push code changes.</w:t>
      </w:r>
    </w:p>
    <w:p>
      <w:r>
        <w:drawing>
          <wp:inline xmlns:a="http://schemas.openxmlformats.org/drawingml/2006/main" xmlns:pic="http://schemas.openxmlformats.org/drawingml/2006/picture">
            <wp:extent cx="5760720" cy="3225533"/>
            <wp:docPr id="1044371697" name="Picture 1044371697"/>
            <wp:cNvGraphicFramePr>
              <a:graphicFrameLocks noChangeAspect="1"/>
            </wp:cNvGraphicFramePr>
            <a:graphic>
              <a:graphicData uri="http://schemas.openxmlformats.org/drawingml/2006/picture">
                <pic:pic>
                  <pic:nvPicPr>
                    <pic:cNvPr id="0" name="deployment_topology.png"/>
                    <pic:cNvPicPr/>
                  </pic:nvPicPr>
                  <pic:blipFill>
                    <a:blip r:embed="rId20"/>
                    <a:stretch>
                      <a:fillRect/>
                    </a:stretch>
                  </pic:blipFill>
                  <pic:spPr>
                    <a:xfrm>
                      <a:off x="0" y="0"/>
                      <a:ext cx="5760720" cy="3225533"/>
                    </a:xfrm>
                    <a:prstGeom prst="rect"/>
                  </pic:spPr>
                </pic:pic>
              </a:graphicData>
            </a:graphic>
          </wp:inline>
        </w:drawing>
      </w:r>
    </w:p>
    <w:p>
      <w:r>
        <w:br w:type="page"/>
      </w:r>
    </w:p>
    <w:p>
      <w:r>
        <w:rPr>
          <w:b/>
          <w:sz w:val="32"/>
        </w:rPr>
        <w:t>Appendix — Detail</w:t>
      </w:r>
    </w:p>
    <w:p>
      <w:r>
        <w:t>The main PIR body is deliberately short. This appendix collects the details DTL1 will want once we move from project initiation into scoping: the five modules, the current (pre-cut-over) hosting, the LLM-gateway swap, and what DTL1 needs to provide.</w:t>
      </w:r>
    </w:p>
    <w:p>
      <w:r>
        <w:rPr>
          <w:b/>
          <w:sz w:val="26"/>
        </w:rPr>
        <w:t>A.1 The five modules</w:t>
      </w:r>
    </w:p>
    <w:p>
      <w:r>
        <w:drawing>
          <wp:inline xmlns:a="http://schemas.openxmlformats.org/drawingml/2006/main" xmlns:pic="http://schemas.openxmlformats.org/drawingml/2006/picture">
            <wp:extent cx="5760720" cy="3151924"/>
            <wp:docPr id="1044371698" name="Picture 1044371698"/>
            <wp:cNvGraphicFramePr>
              <a:graphicFrameLocks noChangeAspect="1"/>
            </wp:cNvGraphicFramePr>
            <a:graphic>
              <a:graphicData uri="http://schemas.openxmlformats.org/drawingml/2006/picture">
                <pic:pic>
                  <pic:nvPicPr>
                    <pic:cNvPr id="0" name="modules_overview.png"/>
                    <pic:cNvPicPr/>
                  </pic:nvPicPr>
                  <pic:blipFill>
                    <a:blip r:embed="rId21"/>
                    <a:stretch>
                      <a:fillRect/>
                    </a:stretch>
                  </pic:blipFill>
                  <pic:spPr>
                    <a:xfrm>
                      <a:off x="0" y="0"/>
                      <a:ext cx="5760720" cy="3151924"/>
                    </a:xfrm>
                    <a:prstGeom prst="rect"/>
                  </pic:spPr>
                </pic:pic>
              </a:graphicData>
            </a:graphic>
          </wp:inline>
        </w:drawing>
      </w:r>
    </w:p>
    <w:p>
      <w:r>
        <w:t>All five modules share the same container, the same Postgres database, the same sign-in and the same LLM gateway. They differ in what they show and what external data they pull in. Experimental routes in the repository (energy-system, maritime-aviation, climate-adaptation and a few others) are explicitly out of scope for this PIR.</w:t>
      </w:r>
    </w:p>
    <w:p>
      <w:r>
        <w:rPr>
          <w:b/>
          <w:sz w:val="22"/>
        </w:rPr>
        <w:t>1. Policy Navigator</w:t>
      </w:r>
    </w:p>
    <w:p>
      <w:r>
        <w:t>Interactive network of EU climate laws. Users browse directives, regulations and binding commitments, open article-level text, and attach annotations. Text pulled from EUR-Lex; annotations live in Postgres.</w:t>
      </w:r>
    </w:p>
    <w:p>
      <w:r>
        <w:rPr>
          <w:b/>
          <w:sz w:val="22"/>
        </w:rPr>
        <w:t>2. References</w:t>
      </w:r>
    </w:p>
    <w:p>
      <w:r>
        <w:t>Literature library used by CCE5 (roughly 2,600 references). DOI lookup via Crossref. PDF annotation. Optional Microsoft Word add-in for citation insertion (runs on the user's local machine and is optional — not part of the hosted service).</w:t>
      </w:r>
    </w:p>
    <w:p>
      <w:r>
        <w:rPr>
          <w:b/>
          <w:sz w:val="22"/>
        </w:rPr>
        <w:t>3. Scenarios</w:t>
      </w:r>
    </w:p>
    <w:p>
      <w:r>
        <w:t>IIASA AR6 and Eurostat climate-mitigation pathways — emissions, energy mix, investment paths — with filters by model, scenario, region, variable. Data fetched on demand from public APIs; no persistent copy.</w:t>
      </w:r>
    </w:p>
    <w:p>
      <w:r>
        <w:rPr>
          <w:b/>
          <w:sz w:val="22"/>
        </w:rPr>
        <w:t>4. News Feed</w:t>
      </w:r>
    </w:p>
    <w:p>
      <w:r>
        <w:t>Curated climate-policy news from RSS feeds (Commission, IPCC, UNFCCC and national press), with an optional daily AI-generated briefing.</w:t>
      </w:r>
    </w:p>
    <w:p>
      <w:r>
        <w:rPr>
          <w:b/>
          <w:sz w:val="22"/>
        </w:rPr>
        <w:t>5. Content Analysis</w:t>
      </w:r>
    </w:p>
    <w:p>
      <w:r>
        <w:t>MAXQDA-style qualitative coding of policy documents. Users ingest a policy PDF, the system segments it into blocks, and analysts assign qualitative codes with optional LLM-suggested hints.</w:t>
      </w:r>
    </w:p>
    <w:p>
      <w:r>
        <w:rPr>
          <w:b/>
          <w:sz w:val="26"/>
        </w:rPr>
        <w:t>A.2 Current hosting (pre-cut-over)</w:t>
      </w:r>
    </w:p>
    <w:p>
      <w:r>
        <w:t>Today the app is deployed on Vercel and the database is a managed Supabase project. Auth also uses Supabase Auth, and AI summaries call external providers (Gemini, Anthropic, OpenAI) via their public APIs. This is what the PIR proposes to replace — it is documented here so DTL1 understands where we are starting from. After cut-over both Vercel and Supabase will be decommissioned.</w:t>
      </w:r>
    </w:p>
    <w:p>
      <w:r>
        <w:rPr>
          <w:b/>
          <w:sz w:val="26"/>
        </w:rPr>
        <w:t>A.3 External LLM keys → EEA in-house LLM gateway</w:t>
      </w:r>
    </w:p>
    <w:p>
      <w:r>
        <w:t>The AI features (daily news briefing, content-analysis code suggestions) currently use one of: GEMINI_API_KEY, ANTHROPIC_API_KEY, OPENAI_API_KEY, or an AZURE_OPENAI_* set. The code is provider-agnostic (src/lib/ai-summary.ts).</w:t>
      </w:r>
    </w:p>
    <w:p>
      <w:r>
        <w:t>The EEA in-house LLM gateway — with its OpenAI-compatible or Azure-OpenAI-compatible interface — replaces all of these. In production we point the app at the gateway and leave the external keys empty. No code change. All prompts and responses stay inside EEA.</w:t>
      </w:r>
    </w:p>
    <w:p>
      <w:r>
        <w:rPr>
          <w:b/>
          <w:sz w:val="26"/>
        </w:rPr>
        <w:t>A.4 What DTL1 would need to provide</w:t>
      </w:r>
    </w:p>
    <w:p>
      <w:r>
        <w:t>- A place to run one Next.js container (VM, Podman, OpenShift — DTL1's call).</w:t>
      </w:r>
    </w:p>
    <w:p>
      <w:r>
        <w:t>- A Postgres 14+ database (small, single-digit GB) with nightly encrypted backups.</w:t>
      </w:r>
    </w:p>
    <w:p>
      <w:r>
        <w:t>- A secure, EEA-approved sign-in provider (EU Login, Azure AD / Entra ID, or another DTL1-endorsed option).</w:t>
      </w:r>
    </w:p>
    <w:p>
      <w:r>
        <w:t>- A reverse proxy with TLS and an EEA domain.</w:t>
      </w:r>
    </w:p>
    <w:p>
      <w:r>
        <w:t>- Access to the EEA in-house LLM gateway.</w:t>
      </w:r>
    </w:p>
    <w:p>
      <w:r>
        <w:t>- Optional: an S3-compatible bucket (EEA MinIO) for reference PDFs. If not available, PDFs live in Postgres.</w:t>
      </w:r>
    </w:p>
    <w:p>
      <w:r>
        <w:t>- An agreed deployment pipeline that lets CCE5 ship code changes (branch → review → deploy). Exact shape is for DTL1 to propose.</w:t>
      </w:r>
    </w:p>
    <w:p>
      <w:r>
        <w:rPr>
          <w:b/>
          <w:sz w:val="26"/>
        </w:rPr>
        <w:t>A.5 What is not in scope</w:t>
      </w:r>
    </w:p>
    <w:p>
      <w:r>
        <w:t>- Public-facing exposure. MethodHub is internal-only.</w:t>
      </w:r>
    </w:p>
    <w:p>
      <w:r>
        <w:t>- Integration with other EEA systems (Reportnet, DataHub, SDI, Data Explorer).</w:t>
      </w:r>
    </w:p>
    <w:p>
      <w:r>
        <w:t>- New engineering work as part of this PIR itself.</w:t>
      </w:r>
    </w:p>
    <w:p>
      <w:r>
        <w:t>- The experimental routes in the repository (energy-system, maritime-aviation, climate-adaptation, climate-finance, fact-sheets and others).</w:t>
      </w:r>
    </w:p>
    <w:p>
      <w:r>
        <w:rPr>
          <w:b/>
          <w:sz w:val="26"/>
        </w:rPr>
        <w:t>A.6 Stack summary (for DTL1 reference)</w:t>
      </w:r>
    </w:p>
    <w:p>
      <w:r>
        <w:t>- Next.js 14 (Node 20), single container, multi-stage Dockerfile, ~180 MB final image, runs as non-root.</w:t>
      </w:r>
    </w:p>
    <w:p>
      <w:r>
        <w:t>- Postgres 14+ (16 used in local Docker). Base schema + 18 sequential migrations already in the repo.</w:t>
      </w:r>
    </w:p>
    <w:p>
      <w:r>
        <w:t>- Extensions: uuid-ossp, pgcrypto. Nothing exotic.</w:t>
      </w:r>
    </w:p>
    <w:p>
      <w:r>
        <w:t>- Existing documentation in the repo: docs/ARCHITECTURE.md, docs/DEPLOYMENT-EEA.md, docs/DATABASE.md, docs/GDPR.md, docs/EEA_STEP_BY_STEP.md.</w:t>
      </w:r>
    </w:p>
    <w:p>
      <w:r>
        <w:t>- Existing handoff scripts in scripts/it-handoff/ (apply schema, service accounts, verify, backup).</w:t>
      </w:r>
    </w:p>
    <w:p>
      <w:r>
        <w:t>- External public data sources used by ingestion: EUR-Lex, Eurostat, IIASA AR6, Crossref, RSS, ESABCC report PDFs. All free and public.</w:t>
      </w:r>
    </w:p>
    <w:sectPr w:rsidR="00446E3E" w:rsidSect="00891471">
      <w:footerReference w:type="default" r:id="rId16"/>
      <w:pgSz w:w="11906" w:h="16838"/>
      <w:pgMar w:top="1032" w:right="1418" w:bottom="851" w:left="1985" w:header="720"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51595" w14:textId="77777777" w:rsidR="00945114" w:rsidRDefault="00945114" w:rsidP="000A0B3C">
      <w:pPr>
        <w:spacing w:after="0"/>
      </w:pPr>
      <w:r>
        <w:separator/>
      </w:r>
    </w:p>
  </w:endnote>
  <w:endnote w:type="continuationSeparator" w:id="0">
    <w:p w14:paraId="47D0CEB8" w14:textId="77777777" w:rsidR="00945114" w:rsidRDefault="00945114" w:rsidP="000A0B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981F" w14:textId="77777777" w:rsidR="00ED5876" w:rsidRPr="00ED5876" w:rsidRDefault="00ED5876" w:rsidP="00ED5876">
    <w:pPr>
      <w:pStyle w:val="Footer"/>
      <w:rPr>
        <w:rFonts w:ascii="Calibri" w:hAnsi="Calibri"/>
        <w:sz w:val="16"/>
        <w:szCs w:val="16"/>
      </w:rPr>
    </w:pPr>
    <w:r w:rsidRPr="00ED5876">
      <w:rPr>
        <w:rFonts w:ascii="Calibri" w:hAnsi="Calibri"/>
        <w:sz w:val="16"/>
        <w:szCs w:val="16"/>
        <w:lang w:val="fr-FR"/>
      </w:rPr>
      <w:t xml:space="preserve">Commission européenne, B-1049 Bruxelles / </w:t>
    </w:r>
    <w:proofErr w:type="spellStart"/>
    <w:r w:rsidRPr="00ED5876">
      <w:rPr>
        <w:rFonts w:ascii="Calibri" w:hAnsi="Calibri"/>
        <w:sz w:val="16"/>
        <w:szCs w:val="16"/>
        <w:lang w:val="fr-FR"/>
      </w:rPr>
      <w:t>Europese</w:t>
    </w:r>
    <w:proofErr w:type="spellEnd"/>
    <w:r w:rsidRPr="00ED5876">
      <w:rPr>
        <w:rFonts w:ascii="Calibri" w:hAnsi="Calibri"/>
        <w:sz w:val="16"/>
        <w:szCs w:val="16"/>
        <w:lang w:val="fr-FR"/>
      </w:rPr>
      <w:t xml:space="preserve"> </w:t>
    </w:r>
    <w:proofErr w:type="spellStart"/>
    <w:r w:rsidRPr="00ED5876">
      <w:rPr>
        <w:rFonts w:ascii="Calibri" w:hAnsi="Calibri"/>
        <w:sz w:val="16"/>
        <w:szCs w:val="16"/>
        <w:lang w:val="fr-FR"/>
      </w:rPr>
      <w:t>Commissie</w:t>
    </w:r>
    <w:proofErr w:type="spellEnd"/>
    <w:r w:rsidRPr="00ED5876">
      <w:rPr>
        <w:rFonts w:ascii="Calibri" w:hAnsi="Calibri"/>
        <w:sz w:val="16"/>
        <w:szCs w:val="16"/>
        <w:lang w:val="fr-FR"/>
      </w:rPr>
      <w:t xml:space="preserve">, B-1049 Brussel - </w:t>
    </w:r>
    <w:proofErr w:type="spellStart"/>
    <w:r w:rsidRPr="00ED5876">
      <w:rPr>
        <w:rFonts w:ascii="Calibri" w:hAnsi="Calibri"/>
        <w:sz w:val="16"/>
        <w:szCs w:val="16"/>
        <w:lang w:val="fr-FR"/>
      </w:rPr>
      <w:t>Belgium</w:t>
    </w:r>
    <w:proofErr w:type="spellEnd"/>
    <w:r w:rsidRPr="00ED5876">
      <w:rPr>
        <w:rFonts w:ascii="Calibri" w:hAnsi="Calibri"/>
        <w:sz w:val="16"/>
        <w:szCs w:val="16"/>
        <w:lang w:val="fr-FR"/>
      </w:rPr>
      <w:t xml:space="preserve">. </w:t>
    </w:r>
    <w:r w:rsidRPr="00ED5876">
      <w:rPr>
        <w:rFonts w:ascii="Calibri" w:hAnsi="Calibri"/>
        <w:sz w:val="16"/>
        <w:szCs w:val="16"/>
      </w:rPr>
      <w:t>Telephone: (32-2) 299 11 11.</w:t>
    </w:r>
    <w:r w:rsidRPr="00ED5876">
      <w:rPr>
        <w:rFonts w:ascii="Calibri" w:hAnsi="Calibri"/>
        <w:noProof/>
        <w:sz w:val="16"/>
        <w:szCs w:val="16"/>
      </w:rPr>
      <w:br/>
      <w:t xml:space="preserve">Office: 05/45. Telephone: direct line (32-2) 2999659. </w:t>
    </w:r>
  </w:p>
  <w:p w14:paraId="64219820" w14:textId="77777777" w:rsidR="00ED5876" w:rsidRPr="00ED5876" w:rsidRDefault="00ED5876" w:rsidP="00ED5876">
    <w:pPr>
      <w:pStyle w:val="Footer"/>
      <w:rPr>
        <w:rFonts w:ascii="Calibri" w:hAnsi="Calibri"/>
        <w:sz w:val="16"/>
        <w:szCs w:val="16"/>
      </w:rPr>
    </w:pPr>
  </w:p>
  <w:p w14:paraId="64219821" w14:textId="77777777" w:rsidR="00ED5876" w:rsidRPr="00ED5876" w:rsidRDefault="00ED5876">
    <w:pPr>
      <w:pStyle w:val="Footer"/>
      <w:rPr>
        <w:rFonts w:ascii="Calibri" w:hAnsi="Calibri"/>
        <w:sz w:val="16"/>
        <w:szCs w:val="16"/>
      </w:rPr>
    </w:pPr>
    <w:r w:rsidRPr="00ED5876">
      <w:rPr>
        <w:rFonts w:ascii="Calibri" w:hAnsi="Calibri"/>
        <w:sz w:val="16"/>
        <w:szCs w:val="16"/>
      </w:rPr>
      <w:t xml:space="preserve">Commission </w:t>
    </w:r>
    <w:proofErr w:type="spellStart"/>
    <w:r w:rsidRPr="00ED5876">
      <w:rPr>
        <w:rFonts w:ascii="Calibri" w:hAnsi="Calibri"/>
        <w:sz w:val="16"/>
        <w:szCs w:val="16"/>
      </w:rPr>
      <w:t>européenne</w:t>
    </w:r>
    <w:proofErr w:type="spellEnd"/>
    <w:r w:rsidRPr="00ED5876">
      <w:rPr>
        <w:rFonts w:ascii="Calibri" w:hAnsi="Calibri"/>
        <w:sz w:val="16"/>
        <w:szCs w:val="16"/>
      </w:rPr>
      <w:t>, L-2920 Luxembourg. Telephone: (352) 43 01-1.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9824" w14:textId="77777777" w:rsidR="000A0B3C" w:rsidRPr="00E1037C" w:rsidRDefault="0067688D" w:rsidP="00AB1370">
    <w:pPr>
      <w:pStyle w:val="FooterLine"/>
      <w:tabs>
        <w:tab w:val="left" w:pos="4111"/>
        <w:tab w:val="left" w:pos="4253"/>
      </w:tabs>
      <w:rPr>
        <w:rFonts w:ascii="Calibri" w:hAnsi="Calibri"/>
        <w:lang w:val="fr-BE"/>
      </w:rPr>
    </w:pPr>
    <w:r w:rsidRPr="00527AAE">
      <w:rPr>
        <w:rFonts w:asciiTheme="minorHAnsi" w:hAnsiTheme="minorHAnsi" w:cstheme="minorHAnsi"/>
        <w:color w:val="000000" w:themeColor="text1"/>
        <w:szCs w:val="16"/>
        <w:lang w:val="fr-BE"/>
      </w:rPr>
      <w:t xml:space="preserve">Date: </w:t>
    </w:r>
    <w:r w:rsidRPr="00527AAE">
      <w:rPr>
        <w:rFonts w:asciiTheme="minorHAnsi" w:hAnsiTheme="minorHAnsi" w:cstheme="minorHAnsi"/>
        <w:color w:val="984806" w:themeColor="accent6" w:themeShade="80"/>
        <w:szCs w:val="16"/>
        <w:lang w:val="fr-BE"/>
      </w:rPr>
      <w:t>&lt;Date&gt;</w:t>
    </w:r>
    <w:r w:rsidRPr="00687B38">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sidR="00AB1370" w:rsidRPr="0030290B">
      <w:rPr>
        <w:rStyle w:val="PageNumber"/>
        <w:rFonts w:ascii="Calibri" w:hAnsi="Calibri"/>
      </w:rPr>
      <w:fldChar w:fldCharType="begin"/>
    </w:r>
    <w:r w:rsidR="00AB1370" w:rsidRPr="00687B38">
      <w:rPr>
        <w:rStyle w:val="PageNumber"/>
        <w:rFonts w:ascii="Calibri" w:hAnsi="Calibri"/>
        <w:lang w:val="fr-BE"/>
      </w:rPr>
      <w:instrText xml:space="preserve"> PAGE </w:instrText>
    </w:r>
    <w:r w:rsidR="00AB1370" w:rsidRPr="0030290B">
      <w:rPr>
        <w:rStyle w:val="PageNumber"/>
        <w:rFonts w:ascii="Calibri" w:hAnsi="Calibri"/>
      </w:rPr>
      <w:fldChar w:fldCharType="separate"/>
    </w:r>
    <w:r w:rsidR="00AA7DF3">
      <w:rPr>
        <w:rStyle w:val="PageNumber"/>
        <w:rFonts w:ascii="Calibri" w:hAnsi="Calibri"/>
        <w:noProof/>
        <w:lang w:val="fr-BE"/>
      </w:rPr>
      <w:t>4</w:t>
    </w:r>
    <w:r w:rsidR="00AB1370" w:rsidRPr="0030290B">
      <w:rPr>
        <w:rStyle w:val="PageNumber"/>
        <w:rFonts w:ascii="Calibri" w:hAnsi="Calibri"/>
      </w:rPr>
      <w:fldChar w:fldCharType="end"/>
    </w:r>
    <w:r w:rsidR="00AB1370" w:rsidRPr="00687B38">
      <w:rPr>
        <w:rStyle w:val="PageNumber"/>
        <w:rFonts w:ascii="Calibri" w:hAnsi="Calibri"/>
        <w:lang w:val="fr-BE"/>
      </w:rPr>
      <w:t xml:space="preserve"> / </w:t>
    </w:r>
    <w:r w:rsidR="00AB1370" w:rsidRPr="0030290B">
      <w:rPr>
        <w:rStyle w:val="PageNumber"/>
        <w:rFonts w:ascii="Calibri" w:hAnsi="Calibri"/>
        <w:snapToGrid w:val="0"/>
      </w:rPr>
      <w:fldChar w:fldCharType="begin"/>
    </w:r>
    <w:r w:rsidR="00AB1370" w:rsidRPr="00687B38">
      <w:rPr>
        <w:rStyle w:val="PageNumber"/>
        <w:rFonts w:ascii="Calibri" w:hAnsi="Calibri"/>
        <w:snapToGrid w:val="0"/>
        <w:lang w:val="fr-BE"/>
      </w:rPr>
      <w:instrText xml:space="preserve"> NUMPAGES </w:instrText>
    </w:r>
    <w:r w:rsidR="00AB1370" w:rsidRPr="0030290B">
      <w:rPr>
        <w:rStyle w:val="PageNumber"/>
        <w:rFonts w:ascii="Calibri" w:hAnsi="Calibri"/>
        <w:snapToGrid w:val="0"/>
      </w:rPr>
      <w:fldChar w:fldCharType="separate"/>
    </w:r>
    <w:r w:rsidR="00AA7DF3">
      <w:rPr>
        <w:rStyle w:val="PageNumber"/>
        <w:rFonts w:ascii="Calibri" w:hAnsi="Calibri"/>
        <w:noProof/>
        <w:snapToGrid w:val="0"/>
        <w:lang w:val="fr-BE"/>
      </w:rPr>
      <w:t>4</w:t>
    </w:r>
    <w:r w:rsidR="00AB1370" w:rsidRPr="0030290B">
      <w:rPr>
        <w:rStyle w:val="PageNumber"/>
        <w:rFonts w:ascii="Calibri" w:hAnsi="Calibri"/>
        <w:snapToGrid w:val="0"/>
      </w:rPr>
      <w:fldChar w:fldCharType="end"/>
    </w:r>
    <w:r w:rsidR="00AB1370">
      <w:rPr>
        <w:rFonts w:asciiTheme="minorHAnsi" w:hAnsiTheme="minorHAnsi" w:cstheme="minorHAnsi"/>
        <w:color w:val="000000" w:themeColor="text1"/>
        <w:szCs w:val="16"/>
        <w:lang w:val="fr-BE"/>
      </w:rPr>
      <w:tab/>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Doc.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Pr="00527AAE">
      <w:rPr>
        <w:rFonts w:asciiTheme="minorHAnsi" w:hAnsiTheme="minorHAnsi" w:cstheme="minorHAnsi"/>
        <w:color w:val="984806"/>
        <w:szCs w:val="16"/>
        <w:lang w:val="fr-BE"/>
      </w:rPr>
      <w:t>&lt;Version&gt;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08791" w14:textId="77777777" w:rsidR="00945114" w:rsidRDefault="00945114" w:rsidP="000A0B3C">
      <w:pPr>
        <w:spacing w:after="0"/>
      </w:pPr>
      <w:r>
        <w:separator/>
      </w:r>
    </w:p>
  </w:footnote>
  <w:footnote w:type="continuationSeparator" w:id="0">
    <w:p w14:paraId="2DA2E04E" w14:textId="77777777" w:rsidR="00945114" w:rsidRDefault="00945114" w:rsidP="000A0B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1981E" w14:textId="77777777" w:rsidR="0067688D" w:rsidRPr="0067688D" w:rsidRDefault="0067688D" w:rsidP="0067688D">
    <w:pPr>
      <w:pStyle w:val="Header"/>
      <w:jc w:val="right"/>
      <w:rPr>
        <w:noProof/>
        <w:sz w:val="18"/>
        <w:szCs w:val="18"/>
        <w:lang w:eastAsia="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563A5758"/>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E1E44E1"/>
    <w:multiLevelType w:val="hybridMultilevel"/>
    <w:tmpl w:val="AF5002D0"/>
    <w:lvl w:ilvl="0" w:tplc="26D87DA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522A39"/>
    <w:multiLevelType w:val="hybridMultilevel"/>
    <w:tmpl w:val="2E0E3A2E"/>
    <w:lvl w:ilvl="0" w:tplc="08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3551BBB"/>
    <w:multiLevelType w:val="hybridMultilevel"/>
    <w:tmpl w:val="0D4459E4"/>
    <w:lvl w:ilvl="0" w:tplc="26D87D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81207BA"/>
    <w:multiLevelType w:val="hybridMultilevel"/>
    <w:tmpl w:val="218684AE"/>
    <w:lvl w:ilvl="0" w:tplc="669A9178">
      <w:numFmt w:val="bullet"/>
      <w:lvlText w:val="•"/>
      <w:lvlJc w:val="left"/>
      <w:pPr>
        <w:ind w:left="1080" w:hanging="720"/>
      </w:pPr>
      <w:rPr>
        <w:rFonts w:ascii="Calibri" w:eastAsia="Calibr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951BAD"/>
    <w:multiLevelType w:val="hybridMultilevel"/>
    <w:tmpl w:val="DB26FD18"/>
    <w:lvl w:ilvl="0" w:tplc="26D87DA6">
      <w:numFmt w:val="bullet"/>
      <w:lvlText w:val="-"/>
      <w:lvlJc w:val="left"/>
      <w:pPr>
        <w:ind w:left="720" w:hanging="360"/>
      </w:pPr>
      <w:rPr>
        <w:rFonts w:ascii="Calibri" w:eastAsiaTheme="minorHAnsi"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D6F5FC0"/>
    <w:multiLevelType w:val="multilevel"/>
    <w:tmpl w:val="75024FE4"/>
    <w:lvl w:ilvl="0">
      <w:start w:val="1"/>
      <w:numFmt w:val="decimal"/>
      <w:lvlText w:val="%1"/>
      <w:lvlJc w:val="left"/>
      <w:pPr>
        <w:ind w:left="432" w:hanging="432"/>
      </w:pPr>
      <w:rPr>
        <w:rFonts w:cs="Times New Roman"/>
      </w:rPr>
    </w:lvl>
    <w:lvl w:ilvl="1">
      <w:start w:val="1"/>
      <w:numFmt w:val="decimal"/>
      <w:lvlText w:val="%1.%2"/>
      <w:lvlJc w:val="left"/>
      <w:pPr>
        <w:ind w:left="676" w:hanging="576"/>
      </w:pPr>
      <w:rPr>
        <w:rFonts w:cs="Times New Roman"/>
        <w:i w:val="0"/>
        <w:iCs w:val="0"/>
      </w:rPr>
    </w:lvl>
    <w:lvl w:ilvl="2">
      <w:start w:val="1"/>
      <w:numFmt w:val="decimal"/>
      <w:lvlText w:val="%1.%2.%3"/>
      <w:lvlJc w:val="left"/>
      <w:pPr>
        <w:ind w:left="862"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9" w15:restartNumberingAfterBreak="0">
    <w:nsid w:val="7FC16773"/>
    <w:multiLevelType w:val="hybridMultilevel"/>
    <w:tmpl w:val="DDF001A2"/>
    <w:lvl w:ilvl="0" w:tplc="26D87DA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61230740">
    <w:abstractNumId w:val="8"/>
  </w:num>
  <w:num w:numId="2" w16cid:durableId="913122842">
    <w:abstractNumId w:val="0"/>
  </w:num>
  <w:num w:numId="3" w16cid:durableId="1767994402">
    <w:abstractNumId w:val="7"/>
  </w:num>
  <w:num w:numId="4" w16cid:durableId="843011907">
    <w:abstractNumId w:val="6"/>
  </w:num>
  <w:num w:numId="5" w16cid:durableId="2015105891">
    <w:abstractNumId w:val="5"/>
  </w:num>
  <w:num w:numId="6" w16cid:durableId="1779636899">
    <w:abstractNumId w:val="2"/>
  </w:num>
  <w:num w:numId="7" w16cid:durableId="1034498009">
    <w:abstractNumId w:val="1"/>
  </w:num>
  <w:num w:numId="8" w16cid:durableId="1138843263">
    <w:abstractNumId w:val="9"/>
  </w:num>
  <w:num w:numId="9" w16cid:durableId="1670132306">
    <w:abstractNumId w:val="3"/>
  </w:num>
  <w:num w:numId="10" w16cid:durableId="1011684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0B3C"/>
    <w:rsid w:val="00010318"/>
    <w:rsid w:val="00074154"/>
    <w:rsid w:val="000A0B3C"/>
    <w:rsid w:val="000E5847"/>
    <w:rsid w:val="00103E07"/>
    <w:rsid w:val="00146233"/>
    <w:rsid w:val="001A535C"/>
    <w:rsid w:val="001B202B"/>
    <w:rsid w:val="002261AD"/>
    <w:rsid w:val="002D7B55"/>
    <w:rsid w:val="003910BF"/>
    <w:rsid w:val="003B72AB"/>
    <w:rsid w:val="003C7A8C"/>
    <w:rsid w:val="00417ED4"/>
    <w:rsid w:val="00425A6D"/>
    <w:rsid w:val="00446E3E"/>
    <w:rsid w:val="00470BB6"/>
    <w:rsid w:val="0047265F"/>
    <w:rsid w:val="00495DE1"/>
    <w:rsid w:val="0050142B"/>
    <w:rsid w:val="00545A29"/>
    <w:rsid w:val="005616F6"/>
    <w:rsid w:val="00570308"/>
    <w:rsid w:val="0057063C"/>
    <w:rsid w:val="00570F5F"/>
    <w:rsid w:val="005B2CD2"/>
    <w:rsid w:val="005C65AB"/>
    <w:rsid w:val="005F0725"/>
    <w:rsid w:val="005F599E"/>
    <w:rsid w:val="00671775"/>
    <w:rsid w:val="0067688D"/>
    <w:rsid w:val="00680874"/>
    <w:rsid w:val="006D2AAD"/>
    <w:rsid w:val="00722636"/>
    <w:rsid w:val="00792B78"/>
    <w:rsid w:val="007B42FA"/>
    <w:rsid w:val="0080353C"/>
    <w:rsid w:val="00831592"/>
    <w:rsid w:val="00840974"/>
    <w:rsid w:val="00891471"/>
    <w:rsid w:val="008A7A5A"/>
    <w:rsid w:val="00900EDB"/>
    <w:rsid w:val="00906A8A"/>
    <w:rsid w:val="00907E2C"/>
    <w:rsid w:val="00945114"/>
    <w:rsid w:val="00967ADC"/>
    <w:rsid w:val="009734FF"/>
    <w:rsid w:val="009804D2"/>
    <w:rsid w:val="00990E9E"/>
    <w:rsid w:val="009A4226"/>
    <w:rsid w:val="009B5A98"/>
    <w:rsid w:val="009F25B0"/>
    <w:rsid w:val="00A13ECD"/>
    <w:rsid w:val="00A4514D"/>
    <w:rsid w:val="00A53748"/>
    <w:rsid w:val="00A7651F"/>
    <w:rsid w:val="00AA7DF3"/>
    <w:rsid w:val="00AB1370"/>
    <w:rsid w:val="00B72B2C"/>
    <w:rsid w:val="00BB7979"/>
    <w:rsid w:val="00C142EF"/>
    <w:rsid w:val="00C17077"/>
    <w:rsid w:val="00C72D31"/>
    <w:rsid w:val="00C92BF7"/>
    <w:rsid w:val="00C93880"/>
    <w:rsid w:val="00C958F7"/>
    <w:rsid w:val="00CC1DEC"/>
    <w:rsid w:val="00D061ED"/>
    <w:rsid w:val="00D06F4E"/>
    <w:rsid w:val="00D20A08"/>
    <w:rsid w:val="00D40C45"/>
    <w:rsid w:val="00D6460B"/>
    <w:rsid w:val="00DC0C8A"/>
    <w:rsid w:val="00DD3559"/>
    <w:rsid w:val="00DE65EF"/>
    <w:rsid w:val="00E1037C"/>
    <w:rsid w:val="00E15734"/>
    <w:rsid w:val="00E94127"/>
    <w:rsid w:val="00EA1C30"/>
    <w:rsid w:val="00EC4B8A"/>
    <w:rsid w:val="00ED5876"/>
    <w:rsid w:val="00F25405"/>
    <w:rsid w:val="00FB70EF"/>
    <w:rsid w:val="00FC15A0"/>
    <w:rsid w:val="00FC658C"/>
    <w:rsid w:val="00FC69C2"/>
    <w:rsid w:val="00FD4694"/>
    <w:rsid w:val="00FE5FC3"/>
    <w:rsid w:val="00FE7F2C"/>
    <w:rsid w:val="3D3832FB"/>
    <w:rsid w:val="4C29322B"/>
    <w:rsid w:val="4D8A52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21974F"/>
  <w15:docId w15:val="{5FFA7692-6C2C-40F9-9936-164953839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E3E"/>
    <w:pPr>
      <w:spacing w:after="120"/>
      <w:jc w:val="both"/>
    </w:pPr>
    <w:rPr>
      <w:rFonts w:ascii="Times New Roman" w:eastAsia="Times New Roman" w:hAnsi="Times New Roman"/>
      <w:sz w:val="22"/>
      <w:lang w:eastAsia="en-US"/>
    </w:rPr>
  </w:style>
  <w:style w:type="paragraph" w:styleId="Heading2">
    <w:name w:val="heading 2"/>
    <w:basedOn w:val="Normal"/>
    <w:next w:val="Normal"/>
    <w:link w:val="Heading2Char"/>
    <w:uiPriority w:val="9"/>
    <w:unhideWhenUsed/>
    <w:qFormat/>
    <w:rsid w:val="00446E3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45A29"/>
    <w:pPr>
      <w:keepNext/>
      <w:widowControl w:val="0"/>
      <w:spacing w:before="120" w:after="60" w:line="240" w:lineRule="atLeast"/>
      <w:ind w:left="720" w:hanging="720"/>
      <w:outlineLvl w:val="2"/>
    </w:pPr>
    <w:rPr>
      <w:bCs/>
      <w:i/>
      <w:szCs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545A29"/>
    <w:rPr>
      <w:rFonts w:ascii="Calibri" w:eastAsia="PMingLiU" w:hAnsi="Calibri"/>
      <w:bCs/>
      <w:i/>
      <w:szCs w:val="26"/>
      <w:u w:val="single"/>
      <w:lang w:val="en-US"/>
    </w:rPr>
  </w:style>
  <w:style w:type="paragraph" w:customStyle="1" w:styleId="SubTitle1">
    <w:name w:val="SubTitle 1"/>
    <w:basedOn w:val="Normal"/>
    <w:next w:val="Normal"/>
    <w:rsid w:val="000A0B3C"/>
    <w:pPr>
      <w:jc w:val="center"/>
    </w:pPr>
    <w:rPr>
      <w:b/>
      <w:sz w:val="40"/>
    </w:rPr>
  </w:style>
  <w:style w:type="paragraph" w:customStyle="1" w:styleId="ZCom">
    <w:name w:val="Z_Com"/>
    <w:basedOn w:val="Normal"/>
    <w:next w:val="ZDGName"/>
    <w:rsid w:val="000A0B3C"/>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0A0B3C"/>
    <w:pPr>
      <w:widowControl w:val="0"/>
      <w:autoSpaceDE w:val="0"/>
      <w:autoSpaceDN w:val="0"/>
      <w:spacing w:after="0"/>
      <w:ind w:right="85"/>
      <w:jc w:val="left"/>
    </w:pPr>
    <w:rPr>
      <w:rFonts w:ascii="Arial" w:hAnsi="Arial" w:cs="Arial"/>
      <w:sz w:val="16"/>
      <w:szCs w:val="16"/>
      <w:lang w:eastAsia="en-GB"/>
    </w:rPr>
  </w:style>
  <w:style w:type="paragraph" w:styleId="Header">
    <w:name w:val="header"/>
    <w:basedOn w:val="Normal"/>
    <w:link w:val="HeaderChar"/>
    <w:unhideWhenUsed/>
    <w:rsid w:val="000A0B3C"/>
    <w:pPr>
      <w:tabs>
        <w:tab w:val="center" w:pos="4536"/>
        <w:tab w:val="right" w:pos="9072"/>
      </w:tabs>
    </w:pPr>
  </w:style>
  <w:style w:type="character" w:customStyle="1" w:styleId="HeaderChar">
    <w:name w:val="Header Char"/>
    <w:basedOn w:val="DefaultParagraphFont"/>
    <w:link w:val="Header"/>
    <w:uiPriority w:val="99"/>
    <w:rsid w:val="000A0B3C"/>
    <w:rPr>
      <w:rFonts w:ascii="Times New Roman" w:eastAsia="Times New Roman" w:hAnsi="Times New Roman"/>
      <w:sz w:val="22"/>
      <w:lang w:eastAsia="en-US"/>
    </w:rPr>
  </w:style>
  <w:style w:type="paragraph" w:styleId="Footer">
    <w:name w:val="footer"/>
    <w:basedOn w:val="Normal"/>
    <w:link w:val="FooterChar"/>
    <w:uiPriority w:val="99"/>
    <w:unhideWhenUsed/>
    <w:rsid w:val="000A0B3C"/>
    <w:pPr>
      <w:tabs>
        <w:tab w:val="center" w:pos="4536"/>
        <w:tab w:val="right" w:pos="9072"/>
      </w:tabs>
    </w:pPr>
  </w:style>
  <w:style w:type="character" w:customStyle="1" w:styleId="FooterChar">
    <w:name w:val="Footer Char"/>
    <w:basedOn w:val="DefaultParagraphFont"/>
    <w:link w:val="Footer"/>
    <w:uiPriority w:val="99"/>
    <w:rsid w:val="000A0B3C"/>
    <w:rPr>
      <w:rFonts w:ascii="Times New Roman" w:eastAsia="Times New Roman" w:hAnsi="Times New Roman"/>
      <w:sz w:val="22"/>
      <w:lang w:eastAsia="en-US"/>
    </w:rPr>
  </w:style>
  <w:style w:type="table" w:styleId="TableGrid">
    <w:name w:val="Table Grid"/>
    <w:basedOn w:val="TableNormal"/>
    <w:rsid w:val="000A0B3C"/>
    <w:pPr>
      <w:spacing w:after="1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0A0B3C"/>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0A0B3C"/>
    <w:pPr>
      <w:keepNext/>
      <w:numPr>
        <w:ilvl w:val="1"/>
        <w:numId w:val="3"/>
      </w:numPr>
      <w:spacing w:before="240" w:after="60"/>
      <w:outlineLvl w:val="1"/>
    </w:pPr>
    <w:rPr>
      <w:rFonts w:ascii="Arial" w:eastAsia="PMingLiU" w:hAnsi="Arial" w:cs="Arial"/>
      <w:b/>
      <w:bCs/>
      <w:sz w:val="24"/>
    </w:rPr>
  </w:style>
  <w:style w:type="paragraph" w:styleId="ListParagraph">
    <w:name w:val="List Paragraph"/>
    <w:basedOn w:val="Normal"/>
    <w:link w:val="ListParagraphChar"/>
    <w:uiPriority w:val="34"/>
    <w:qFormat/>
    <w:rsid w:val="00891471"/>
    <w:pPr>
      <w:spacing w:after="0"/>
      <w:contextualSpacing/>
    </w:pPr>
    <w:rPr>
      <w:rFonts w:asciiTheme="minorHAnsi" w:eastAsia="Calibri" w:hAnsiTheme="minorHAnsi"/>
      <w:i/>
      <w:color w:val="1B6FB5"/>
      <w:sz w:val="20"/>
    </w:rPr>
  </w:style>
  <w:style w:type="character" w:customStyle="1" w:styleId="ListParagraphChar">
    <w:name w:val="List Paragraph Char"/>
    <w:link w:val="ListParagraph"/>
    <w:uiPriority w:val="34"/>
    <w:locked/>
    <w:rsid w:val="00891471"/>
    <w:rPr>
      <w:rFonts w:asciiTheme="minorHAnsi" w:hAnsiTheme="minorHAnsi"/>
      <w:i/>
      <w:color w:val="1B6FB5"/>
      <w:lang w:eastAsia="en-US"/>
    </w:rPr>
  </w:style>
  <w:style w:type="character" w:styleId="PlaceholderText">
    <w:name w:val="Placeholder Text"/>
    <w:uiPriority w:val="99"/>
    <w:semiHidden/>
    <w:rsid w:val="0067688D"/>
    <w:rPr>
      <w:color w:val="808080"/>
    </w:rPr>
  </w:style>
  <w:style w:type="paragraph" w:styleId="BalloonText">
    <w:name w:val="Balloon Text"/>
    <w:basedOn w:val="Normal"/>
    <w:link w:val="BalloonTextChar"/>
    <w:uiPriority w:val="99"/>
    <w:semiHidden/>
    <w:unhideWhenUsed/>
    <w:rsid w:val="0067688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88D"/>
    <w:rPr>
      <w:rFonts w:ascii="Tahoma" w:eastAsia="Times New Roman" w:hAnsi="Tahoma" w:cs="Tahoma"/>
      <w:sz w:val="16"/>
      <w:szCs w:val="16"/>
      <w:lang w:eastAsia="en-US"/>
    </w:rPr>
  </w:style>
  <w:style w:type="character" w:styleId="PageNumber">
    <w:name w:val="page number"/>
    <w:basedOn w:val="DefaultParagraphFont"/>
    <w:rsid w:val="0067688D"/>
  </w:style>
  <w:style w:type="paragraph" w:customStyle="1" w:styleId="FooterLine">
    <w:name w:val="FooterLine"/>
    <w:basedOn w:val="Footer"/>
    <w:next w:val="Footer"/>
    <w:rsid w:val="0067688D"/>
    <w:pPr>
      <w:pBdr>
        <w:top w:val="single" w:sz="4" w:space="1" w:color="auto"/>
      </w:pBdr>
      <w:tabs>
        <w:tab w:val="clear" w:pos="4536"/>
        <w:tab w:val="clear" w:pos="9072"/>
        <w:tab w:val="right" w:pos="8647"/>
      </w:tabs>
      <w:spacing w:before="120" w:after="0"/>
      <w:jc w:val="left"/>
    </w:pPr>
    <w:rPr>
      <w:rFonts w:ascii="Arial" w:hAnsi="Arial"/>
      <w:sz w:val="16"/>
      <w:lang w:val="fi-FI"/>
    </w:rPr>
  </w:style>
  <w:style w:type="paragraph" w:styleId="Revision">
    <w:name w:val="Revision"/>
    <w:hidden/>
    <w:uiPriority w:val="99"/>
    <w:semiHidden/>
    <w:rsid w:val="0057063C"/>
    <w:rPr>
      <w:rFonts w:ascii="Times New Roman" w:eastAsia="Times New Roman" w:hAnsi="Times New Roman"/>
      <w:sz w:val="22"/>
      <w:lang w:eastAsia="en-US"/>
    </w:rPr>
  </w:style>
  <w:style w:type="character" w:styleId="Hyperlink">
    <w:name w:val="Hyperlink"/>
    <w:basedOn w:val="DefaultParagraphFont"/>
    <w:uiPriority w:val="99"/>
    <w:unhideWhenUsed/>
    <w:rsid w:val="0057063C"/>
    <w:rPr>
      <w:color w:val="0000FF"/>
      <w:u w:val="single"/>
    </w:rPr>
  </w:style>
  <w:style w:type="character" w:styleId="CommentReference">
    <w:name w:val="annotation reference"/>
    <w:basedOn w:val="DefaultParagraphFont"/>
    <w:uiPriority w:val="99"/>
    <w:semiHidden/>
    <w:unhideWhenUsed/>
    <w:rsid w:val="0057063C"/>
    <w:rPr>
      <w:sz w:val="16"/>
      <w:szCs w:val="16"/>
    </w:rPr>
  </w:style>
  <w:style w:type="paragraph" w:styleId="CommentText">
    <w:name w:val="annotation text"/>
    <w:basedOn w:val="Normal"/>
    <w:link w:val="CommentTextChar"/>
    <w:uiPriority w:val="99"/>
    <w:unhideWhenUsed/>
    <w:rsid w:val="0057063C"/>
    <w:pPr>
      <w:spacing w:after="160"/>
      <w:jc w:val="left"/>
    </w:pPr>
    <w:rPr>
      <w:rFonts w:asciiTheme="minorHAnsi" w:eastAsiaTheme="minorHAnsi" w:hAnsiTheme="minorHAnsi" w:cstheme="minorBidi"/>
      <w:sz w:val="20"/>
    </w:rPr>
  </w:style>
  <w:style w:type="character" w:customStyle="1" w:styleId="CommentTextChar">
    <w:name w:val="Comment Text Char"/>
    <w:basedOn w:val="DefaultParagraphFont"/>
    <w:link w:val="CommentText"/>
    <w:uiPriority w:val="99"/>
    <w:rsid w:val="0057063C"/>
    <w:rPr>
      <w:rFonts w:asciiTheme="minorHAnsi" w:eastAsiaTheme="minorHAnsi" w:hAnsiTheme="minorHAnsi" w:cstheme="minorBidi"/>
      <w:lang w:eastAsia="en-US"/>
    </w:rPr>
  </w:style>
  <w:style w:type="paragraph" w:styleId="FootnoteText">
    <w:name w:val="footnote text"/>
    <w:basedOn w:val="Normal"/>
    <w:link w:val="FootnoteTextChar"/>
    <w:uiPriority w:val="99"/>
    <w:semiHidden/>
    <w:unhideWhenUsed/>
    <w:rsid w:val="0057063C"/>
    <w:pPr>
      <w:spacing w:after="0"/>
      <w:jc w:val="left"/>
    </w:pPr>
    <w:rPr>
      <w:rFonts w:asciiTheme="minorHAnsi" w:eastAsiaTheme="minorHAnsi" w:hAnsiTheme="minorHAnsi" w:cstheme="minorBidi"/>
      <w:sz w:val="20"/>
    </w:rPr>
  </w:style>
  <w:style w:type="character" w:customStyle="1" w:styleId="FootnoteTextChar">
    <w:name w:val="Footnote Text Char"/>
    <w:basedOn w:val="DefaultParagraphFont"/>
    <w:link w:val="FootnoteText"/>
    <w:uiPriority w:val="99"/>
    <w:semiHidden/>
    <w:rsid w:val="0057063C"/>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57063C"/>
    <w:rPr>
      <w:vertAlign w:val="superscript"/>
    </w:rPr>
  </w:style>
  <w:style w:type="character" w:customStyle="1" w:styleId="Heading2Char">
    <w:name w:val="Heading 2 Char"/>
    <w:basedOn w:val="DefaultParagraphFont"/>
    <w:link w:val="Heading2"/>
    <w:uiPriority w:val="9"/>
    <w:rsid w:val="00446E3E"/>
    <w:rPr>
      <w:rFonts w:asciiTheme="majorHAnsi" w:eastAsiaTheme="majorEastAsia" w:hAnsiTheme="majorHAnsi" w:cstheme="majorBidi"/>
      <w:color w:val="365F91" w:themeColor="accent1" w:themeShade="BF"/>
      <w:sz w:val="26"/>
      <w:szCs w:val="26"/>
      <w:lang w:eastAsia="en-US"/>
    </w:rPr>
  </w:style>
  <w:style w:type="paragraph" w:styleId="CommentSubject">
    <w:name w:val="annotation subject"/>
    <w:basedOn w:val="CommentText"/>
    <w:next w:val="CommentText"/>
    <w:link w:val="CommentSubjectChar"/>
    <w:uiPriority w:val="99"/>
    <w:semiHidden/>
    <w:unhideWhenUsed/>
    <w:rsid w:val="00831592"/>
    <w:pPr>
      <w:spacing w:after="120"/>
      <w:jc w:val="both"/>
    </w:pPr>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831592"/>
    <w:rPr>
      <w:rFonts w:ascii="Times New Roman" w:eastAsia="Times New Roman" w:hAnsi="Times New Roman" w:cstheme="minorBidi"/>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395641">
      <w:bodyDiv w:val="1"/>
      <w:marLeft w:val="0"/>
      <w:marRight w:val="0"/>
      <w:marTop w:val="0"/>
      <w:marBottom w:val="0"/>
      <w:divBdr>
        <w:top w:val="none" w:sz="0" w:space="0" w:color="auto"/>
        <w:left w:val="none" w:sz="0" w:space="0" w:color="auto"/>
        <w:bottom w:val="none" w:sz="0" w:space="0" w:color="auto"/>
        <w:right w:val="none" w:sz="0" w:space="0" w:color="auto"/>
      </w:divBdr>
    </w:div>
    <w:div w:id="2079208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0" Type="http://schemas.openxmlformats.org/officeDocument/2006/relationships/image" Target="media/image3.png"/><Relationship Id="rId2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2A0012396BC494EAFE480AD8C93756C"/>
        <w:category>
          <w:name w:val="General"/>
          <w:gallery w:val="placeholder"/>
        </w:category>
        <w:types>
          <w:type w:val="bbPlcHdr"/>
        </w:types>
        <w:behaviors>
          <w:behavior w:val="content"/>
        </w:behaviors>
        <w:guid w:val="{7C2B4DCE-4D4C-4CA6-B328-D6E05B07DBF6}"/>
      </w:docPartPr>
      <w:docPartBody>
        <w:p w:rsidR="000F61A0" w:rsidRDefault="0080353C" w:rsidP="0080353C">
          <w:pPr>
            <w:pStyle w:val="32A0012396BC494EAFE480AD8C93756C"/>
          </w:pPr>
          <w:r w:rsidRPr="003F55B6">
            <w:rPr>
              <w:rStyle w:val="PlaceholderText"/>
            </w:rPr>
            <w:t>[Subject]</w:t>
          </w:r>
        </w:p>
      </w:docPartBody>
    </w:docPart>
    <w:docPart>
      <w:docPartPr>
        <w:name w:val="2EF0F87BED024EF79027D99E1E09F127"/>
        <w:category>
          <w:name w:val="General"/>
          <w:gallery w:val="placeholder"/>
        </w:category>
        <w:types>
          <w:type w:val="bbPlcHdr"/>
        </w:types>
        <w:behaviors>
          <w:behavior w:val="content"/>
        </w:behaviors>
        <w:guid w:val="{25A3E0D4-992A-46DD-87A2-5942E9A7E27B}"/>
      </w:docPartPr>
      <w:docPartBody>
        <w:p w:rsidR="000F61A0" w:rsidRDefault="0080353C" w:rsidP="0080353C">
          <w:pPr>
            <w:pStyle w:val="2EF0F87BED024EF79027D99E1E09F127"/>
          </w:pPr>
          <w:r>
            <w:rPr>
              <w:rStyle w:val="PlaceholderText"/>
            </w:rPr>
            <w:t>[Issue Date]</w:t>
          </w:r>
        </w:p>
      </w:docPartBody>
    </w:docPart>
    <w:docPart>
      <w:docPartPr>
        <w:name w:val="0CFBD9A1F58A46378A64ABBF7BCEB5FA"/>
        <w:category>
          <w:name w:val="General"/>
          <w:gallery w:val="placeholder"/>
        </w:category>
        <w:types>
          <w:type w:val="bbPlcHdr"/>
        </w:types>
        <w:behaviors>
          <w:behavior w:val="content"/>
        </w:behaviors>
        <w:guid w:val="{1576E234-9CAA-4091-B5CF-2F4026E1BDCE}"/>
      </w:docPartPr>
      <w:docPartBody>
        <w:p w:rsidR="000F61A0" w:rsidRDefault="0080353C" w:rsidP="0080353C">
          <w:pPr>
            <w:pStyle w:val="0CFBD9A1F58A46378A64ABBF7BCEB5FA"/>
          </w:pPr>
          <w:r>
            <w:rPr>
              <w:rStyle w:val="PlaceholderText"/>
            </w:rPr>
            <w:t>[Status]</w:t>
          </w:r>
        </w:p>
      </w:docPartBody>
    </w:docPart>
    <w:docPart>
      <w:docPartPr>
        <w:name w:val="660A1BB8C6C045948A54EC95BA92207C"/>
        <w:category>
          <w:name w:val="Général"/>
          <w:gallery w:val="placeholder"/>
        </w:category>
        <w:types>
          <w:type w:val="bbPlcHdr"/>
        </w:types>
        <w:behaviors>
          <w:behavior w:val="content"/>
        </w:behaviors>
        <w:guid w:val="{47E3231F-EFCA-4E47-B543-20767A399C8F}"/>
      </w:docPartPr>
      <w:docPartBody>
        <w:p w:rsidR="00AF4284" w:rsidRDefault="00FC658C" w:rsidP="00FC658C">
          <w:pPr>
            <w:pStyle w:val="660A1BB8C6C045948A54EC95BA92207C"/>
          </w:pPr>
          <w:r w:rsidRPr="00680874">
            <w:rPr>
              <w:rFonts w:asciiTheme="minorHAnsi" w:eastAsia="PMingLiU" w:hAnsiTheme="minorHAnsi" w:cstheme="minorHAnsi"/>
              <w:b/>
              <w:color w:val="275317" w:themeColor="accent6" w:themeShade="80"/>
              <w:sz w:val="24"/>
              <w:szCs w:val="24"/>
            </w:rPr>
            <w:t>&lt;</w:t>
          </w:r>
          <w:r>
            <w:rPr>
              <w:rFonts w:asciiTheme="minorHAnsi" w:eastAsia="PMingLiU" w:hAnsiTheme="minorHAnsi" w:cstheme="minorHAnsi"/>
              <w:b/>
              <w:color w:val="275317" w:themeColor="accent6" w:themeShade="80"/>
              <w:sz w:val="24"/>
              <w:szCs w:val="24"/>
            </w:rPr>
            <w:t>Group</w:t>
          </w:r>
          <w:r w:rsidRPr="00680874">
            <w:rPr>
              <w:rFonts w:asciiTheme="minorHAnsi" w:eastAsia="PMingLiU" w:hAnsiTheme="minorHAnsi" w:cstheme="minorHAnsi"/>
              <w:b/>
              <w:color w:val="275317" w:themeColor="accent6" w:themeShade="80"/>
              <w:sz w:val="24"/>
              <w:szCs w:val="24"/>
            </w:rPr>
            <w:t xml:space="preserve"> </w:t>
          </w:r>
          <w:r>
            <w:rPr>
              <w:rFonts w:asciiTheme="minorHAnsi" w:eastAsia="PMingLiU" w:hAnsiTheme="minorHAnsi" w:cstheme="minorHAnsi"/>
              <w:b/>
              <w:color w:val="275317" w:themeColor="accent6" w:themeShade="80"/>
              <w:sz w:val="24"/>
              <w:szCs w:val="24"/>
            </w:rPr>
            <w:t>n</w:t>
          </w:r>
          <w:r w:rsidRPr="00680874">
            <w:rPr>
              <w:rFonts w:asciiTheme="minorHAnsi" w:eastAsia="PMingLiU" w:hAnsiTheme="minorHAnsi" w:cstheme="minorHAnsi"/>
              <w:b/>
              <w:color w:val="275317" w:themeColor="accent6" w:themeShade="80"/>
              <w:sz w:val="24"/>
              <w:szCs w:val="24"/>
            </w:rPr>
            <w:t>ame&gt;</w:t>
          </w:r>
        </w:p>
      </w:docPartBody>
    </w:docPart>
    <w:docPart>
      <w:docPartPr>
        <w:name w:val="22D3B0D326A8425890EDD2101B90EBAE"/>
        <w:category>
          <w:name w:val="Général"/>
          <w:gallery w:val="placeholder"/>
        </w:category>
        <w:types>
          <w:type w:val="bbPlcHdr"/>
        </w:types>
        <w:behaviors>
          <w:behavior w:val="content"/>
        </w:behaviors>
        <w:guid w:val="{BF0993C8-B6DB-4A96-A837-D21208BA065E}"/>
      </w:docPartPr>
      <w:docPartBody>
        <w:p w:rsidR="00AF4284" w:rsidRDefault="00FC658C" w:rsidP="00FC658C">
          <w:pPr>
            <w:pStyle w:val="22D3B0D326A8425890EDD2101B90EBAE1"/>
          </w:pPr>
          <w:r w:rsidRPr="00680874">
            <w:rPr>
              <w:rFonts w:asciiTheme="minorHAnsi" w:eastAsia="PMingLiU" w:hAnsiTheme="minorHAnsi" w:cstheme="minorHAnsi"/>
              <w:b/>
              <w:color w:val="275317" w:themeColor="accent6" w:themeShade="80"/>
              <w:sz w:val="24"/>
              <w:szCs w:val="24"/>
            </w:rPr>
            <w:t>&lt;</w:t>
          </w:r>
          <w:r>
            <w:rPr>
              <w:rFonts w:asciiTheme="minorHAnsi" w:eastAsia="PMingLiU" w:hAnsiTheme="minorHAnsi" w:cstheme="minorHAnsi"/>
              <w:b/>
              <w:color w:val="275317" w:themeColor="accent6" w:themeShade="80"/>
              <w:sz w:val="24"/>
              <w:szCs w:val="24"/>
            </w:rPr>
            <w:t>Group</w:t>
          </w:r>
          <w:r w:rsidRPr="00680874">
            <w:rPr>
              <w:rFonts w:asciiTheme="minorHAnsi" w:eastAsia="PMingLiU" w:hAnsiTheme="minorHAnsi" w:cstheme="minorHAnsi"/>
              <w:b/>
              <w:color w:val="275317" w:themeColor="accent6" w:themeShade="80"/>
              <w:sz w:val="24"/>
              <w:szCs w:val="24"/>
            </w:rPr>
            <w:t xml:space="preserve"> </w:t>
          </w:r>
          <w:r>
            <w:rPr>
              <w:rFonts w:asciiTheme="minorHAnsi" w:eastAsia="PMingLiU" w:hAnsiTheme="minorHAnsi" w:cstheme="minorHAnsi"/>
              <w:b/>
              <w:color w:val="275317" w:themeColor="accent6" w:themeShade="80"/>
              <w:sz w:val="24"/>
              <w:szCs w:val="24"/>
            </w:rPr>
            <w:t>n</w:t>
          </w:r>
          <w:r w:rsidRPr="00680874">
            <w:rPr>
              <w:rFonts w:asciiTheme="minorHAnsi" w:eastAsia="PMingLiU" w:hAnsiTheme="minorHAnsi" w:cstheme="minorHAnsi"/>
              <w:b/>
              <w:color w:val="275317" w:themeColor="accent6" w:themeShade="80"/>
              <w:sz w:val="24"/>
              <w:szCs w:val="24"/>
            </w:rPr>
            <w:t>ame&gt;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formatting="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0353C"/>
    <w:rsid w:val="000F61A0"/>
    <w:rsid w:val="001321AF"/>
    <w:rsid w:val="00332128"/>
    <w:rsid w:val="004A3F7C"/>
    <w:rsid w:val="007E14AD"/>
    <w:rsid w:val="0080353C"/>
    <w:rsid w:val="008A7A5A"/>
    <w:rsid w:val="009E4B37"/>
    <w:rsid w:val="009F1DA8"/>
    <w:rsid w:val="00AF4284"/>
    <w:rsid w:val="00D6460B"/>
    <w:rsid w:val="00FC65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FC658C"/>
    <w:rPr>
      <w:color w:val="808080"/>
    </w:rPr>
  </w:style>
  <w:style w:type="paragraph" w:customStyle="1" w:styleId="32A0012396BC494EAFE480AD8C93756C">
    <w:name w:val="32A0012396BC494EAFE480AD8C93756C"/>
    <w:rsid w:val="0080353C"/>
  </w:style>
  <w:style w:type="paragraph" w:customStyle="1" w:styleId="2EF0F87BED024EF79027D99E1E09F127">
    <w:name w:val="2EF0F87BED024EF79027D99E1E09F127"/>
    <w:rsid w:val="0080353C"/>
  </w:style>
  <w:style w:type="paragraph" w:customStyle="1" w:styleId="0CFBD9A1F58A46378A64ABBF7BCEB5FA">
    <w:name w:val="0CFBD9A1F58A46378A64ABBF7BCEB5FA"/>
    <w:rsid w:val="0080353C"/>
  </w:style>
  <w:style w:type="paragraph" w:customStyle="1" w:styleId="660A1BB8C6C045948A54EC95BA92207C">
    <w:name w:val="660A1BB8C6C045948A54EC95BA92207C"/>
    <w:rsid w:val="00FC658C"/>
    <w:pPr>
      <w:spacing w:after="120" w:line="240" w:lineRule="auto"/>
      <w:jc w:val="both"/>
    </w:pPr>
    <w:rPr>
      <w:rFonts w:ascii="Times New Roman" w:eastAsia="Times New Roman" w:hAnsi="Times New Roman" w:cs="Times New Roman"/>
      <w:szCs w:val="20"/>
      <w:lang w:eastAsia="en-US"/>
    </w:rPr>
  </w:style>
  <w:style w:type="paragraph" w:customStyle="1" w:styleId="22D3B0D326A8425890EDD2101B90EBAE1">
    <w:name w:val="22D3B0D326A8425890EDD2101B90EBAE1"/>
    <w:rsid w:val="00FC658C"/>
    <w:pPr>
      <w:spacing w:after="120" w:line="240" w:lineRule="auto"/>
      <w:jc w:val="both"/>
    </w:pPr>
    <w:rPr>
      <w:rFonts w:ascii="Times New Roman" w:eastAsia="Times New Roman" w:hAnsi="Times New Roman" w:cs="Times New Roman"/>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&lt;Date&gt;</PublishDate>
  <Abstract>PM² Template V.2.0.3</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8A1958FD0808A4DA543839C19419A54" ma:contentTypeVersion="12" ma:contentTypeDescription="Create a new document." ma:contentTypeScope="" ma:versionID="80e0ad2d84438883d0484e641431c983">
  <xsd:schema xmlns:xsd="http://www.w3.org/2001/XMLSchema" xmlns:xs="http://www.w3.org/2001/XMLSchema" xmlns:p="http://schemas.microsoft.com/office/2006/metadata/properties" xmlns:ns2="1bdf4e9e-993c-4a20-8938-9ac021570bd2" xmlns:ns3="cc86a541-188d-42a1-a41c-111a5f348e1d" targetNamespace="http://schemas.microsoft.com/office/2006/metadata/properties" ma:root="true" ma:fieldsID="a952c35c1f1bde3f1deccc9509705ade" ns2:_="" ns3:_="">
    <xsd:import namespace="1bdf4e9e-993c-4a20-8938-9ac021570bd2"/>
    <xsd:import namespace="cc86a541-188d-42a1-a41c-111a5f348e1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df4e9e-993c-4a20-8938-9ac021570b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de42cbc-566b-46c9-aea5-a71cdcd36d8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c86a541-188d-42a1-a41c-111a5f348e1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1224f5f-b9f5-4d68-a04c-b0bfb2390e7d}" ma:internalName="TaxCatchAll" ma:showField="CatchAllData" ma:web="cc86a541-188d-42a1-a41c-111a5f348e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c86a541-188d-42a1-a41c-111a5f348e1d" xsi:nil="true"/>
    <lcf76f155ced4ddcb4097134ff3c332f xmlns="1bdf4e9e-993c-4a20-8938-9ac021570bd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B952765-21A9-4F01-8D1A-B530335CA2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df4e9e-993c-4a20-8938-9ac021570bd2"/>
    <ds:schemaRef ds:uri="cc86a541-188d-42a1-a41c-111a5f348e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D8D51E-39E3-4615-88ED-3D875DEE2A85}">
  <ds:schemaRefs>
    <ds:schemaRef ds:uri="http://schemas.microsoft.com/office/2006/metadata/properties"/>
    <ds:schemaRef ds:uri="http://schemas.microsoft.com/office/infopath/2007/PartnerControls"/>
    <ds:schemaRef ds:uri="cc86a541-188d-42a1-a41c-111a5f348e1d"/>
    <ds:schemaRef ds:uri="1bdf4e9e-993c-4a20-8938-9ac021570bd2"/>
  </ds:schemaRefs>
</ds:datastoreItem>
</file>

<file path=customXml/itemProps4.xml><?xml version="1.0" encoding="utf-8"?>
<ds:datastoreItem xmlns:ds="http://schemas.openxmlformats.org/officeDocument/2006/customXml" ds:itemID="{1919F669-8F1C-493C-9367-F8CD899CAA18}">
  <ds:schemaRefs>
    <ds:schemaRef ds:uri="http://schemas.microsoft.com/sharepoint/v3/contenttype/forms"/>
  </ds:schemaRefs>
</ds:datastoreItem>
</file>

<file path=customXml/itemProps5.xml><?xml version="1.0" encoding="utf-8"?>
<ds:datastoreItem xmlns:ds="http://schemas.openxmlformats.org/officeDocument/2006/customXml" ds:itemID="{D43B455E-BC7D-4F7E-9D26-5384CD3F77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746</Words>
  <Characters>4002</Characters>
  <Application>Microsoft Office Word</Application>
  <DocSecurity>0</DocSecurity>
  <Lines>139</Lines>
  <Paragraphs>69</Paragraphs>
  <ScaleCrop>false</ScaleCrop>
  <Manager/>
  <Company>European Commission</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Initiation Request</dc:title>
  <dc:subject>&lt;Project Name&gt;</dc:subject>
  <dc:creator>COEPM²</dc:creator>
  <cp:keywords>PM² Templates</cp:keywords>
  <cp:lastModifiedBy>Jan Bliki</cp:lastModifiedBy>
  <cp:revision>33</cp:revision>
  <dcterms:created xsi:type="dcterms:W3CDTF">2019-03-21T13:58:00Z</dcterms:created>
  <dcterms:modified xsi:type="dcterms:W3CDTF">2026-02-19T09:26:00Z</dcterms:modified>
  <cp:category>&lt;Public, Basic, High&gt;</cp:category>
  <cp:contentStatus>&lt;Version&gt;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0x010100C8A1958FD0808A4DA543839C19419A54</vt:lpwstr>
  </property>
  <property fmtid="{D5CDD505-2E9C-101B-9397-08002B2CF9AE}" pid="3" name="Order">
    <vt:r8>73100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