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left"/>
      </w:pPr>
      <w:r>
        <w:rPr>
          <w:b/>
          <w:color w:val="2F6E5B"/>
          <w:sz w:val="30"/>
        </w:rPr>
        <w:t>An open scenario submission call for IAM modellers</w:t>
      </w:r>
    </w:p>
    <w:p>
      <w:pPr>
        <w:spacing w:after="120"/>
      </w:pPr>
      <w:r>
        <w:rPr>
          <w:i/>
          <w:color w:val="555B63"/>
          <w:sz w:val="18"/>
        </w:rPr>
        <w:t>Our thinking on scenarios: what we need them for, how to acquire them, the workflow on our side, and the risks — ESABCC MethodHub, draft for discussion, 12 June 2026</w:t>
      </w:r>
    </w:p>
    <w:p>
      <w:pPr>
        <w:spacing w:before="80" w:after="20"/>
      </w:pPr>
      <w:r>
        <w:rPr>
          <w:b/>
          <w:color w:val="2F6E5B"/>
          <w:sz w:val="20"/>
        </w:rPr>
        <w:t>What do we need scenarios for?</w:t>
      </w:r>
    </w:p>
    <w:p>
      <w:r>
        <w:rPr>
          <w:i w:val="0"/>
          <w:sz w:val="18"/>
        </w:rPr>
        <w:t>Our monitoring frameworks tell us what to track but not how fast it must move. The board's sector flow charts carry ~40 progress indicators, today read against observed trends and EC scenarios only. Matched scenario corridors turn every indicator into a quantified benchmark and keep gap assessments evidence-based as policy and model vintages evolve.</w:t>
      </w:r>
    </w:p>
    <w:p>
      <w:pPr>
        <w:spacing w:before="80" w:after="20"/>
      </w:pPr>
      <w:r>
        <w:rPr>
          <w:b/>
          <w:color w:val="2F6E5B"/>
          <w:sz w:val="20"/>
        </w:rPr>
        <w:t>Which options do we have to acquire them?</w:t>
      </w:r>
    </w:p>
    <w:p>
      <w:pPr>
        <w:pStyle w:val="ListBullet"/>
        <w:spacing w:after="20"/>
      </w:pPr>
      <w:r>
        <w:rPr>
          <w:b/>
          <w:sz w:val="18"/>
        </w:rPr>
        <w:t xml:space="preserve">Reuse existing databases — </w:t>
      </w:r>
      <w:r>
        <w:rPr>
          <w:sz w:val="18"/>
        </w:rPr>
        <w:t>AR6 / ECEMF snapshots — cheap, but vintages age, EU27 sectoral detail is thin, and we cannot ask for missing variables.</w:t>
      </w:r>
    </w:p>
    <w:p>
      <w:pPr>
        <w:pStyle w:val="ListBullet"/>
        <w:spacing w:after="20"/>
      </w:pPr>
      <w:r>
        <w:rPr>
          <w:b/>
          <w:sz w:val="18"/>
        </w:rPr>
        <w:t xml:space="preserve">Commission modelling — </w:t>
      </w:r>
      <w:r>
        <w:rPr>
          <w:sz w:val="18"/>
        </w:rPr>
        <w:t>Full design control, but slow, costly, few models — weak ensembles, hand-picked look.</w:t>
      </w:r>
    </w:p>
    <w:p>
      <w:pPr>
        <w:pStyle w:val="ListBullet"/>
        <w:spacing w:after="20"/>
      </w:pPr>
      <w:r>
        <w:rPr>
          <w:b/>
          <w:sz w:val="18"/>
        </w:rPr>
        <w:t xml:space="preserve">Open submission call (proposed) — </w:t>
      </w:r>
      <w:r>
        <w:rPr>
          <w:sz w:val="18"/>
        </w:rPr>
        <w:t>IAM and sectoral teams submit economy-wide or sectoral EU scenarios directly to the MethodHub — best breadth and freshness at the lowest cost; the other options stay as complements.</w:t>
      </w:r>
    </w:p>
    <w:p>
      <w:pPr>
        <w:spacing w:before="60" w:after="0"/>
        <w:jc w:val="center"/>
      </w:pPr>
      <w:r>
        <w:drawing>
          <wp:inline xmlns:a="http://schemas.openxmlformats.org/drawingml/2006/main" xmlns:pic="http://schemas.openxmlformats.org/drawingml/2006/picture">
            <wp:extent cx="5832000" cy="4165714"/>
            <wp:docPr id="1" name="Picture 1"/>
            <wp:cNvGraphicFramePr>
              <a:graphicFrameLocks noChangeAspect="1"/>
            </wp:cNvGraphicFramePr>
            <a:graphic>
              <a:graphicData uri="http://schemas.openxmlformats.org/drawingml/2006/picture">
                <pic:pic>
                  <pic:nvPicPr>
                    <pic:cNvPr id="0" name="scenario-call-logic-figure.png"/>
                    <pic:cNvPicPr/>
                  </pic:nvPicPr>
                  <pic:blipFill>
                    <a:blip r:embed="rId9"/>
                    <a:stretch>
                      <a:fillRect/>
                    </a:stretch>
                  </pic:blipFill>
                  <pic:spPr>
                    <a:xfrm>
                      <a:off x="0" y="0"/>
                      <a:ext cx="5832000" cy="4165714"/>
                    </a:xfrm>
                    <a:prstGeom prst="rect"/>
                  </pic:spPr>
                </pic:pic>
              </a:graphicData>
            </a:graphic>
          </wp:inline>
        </w:drawing>
      </w:r>
    </w:p>
    <w:p>
      <w:pPr>
        <w:spacing w:after="40"/>
        <w:jc w:val="center"/>
      </w:pPr>
      <w:r>
        <w:rPr>
          <w:i/>
          <w:color w:val="555B63"/>
          <w:sz w:val="15"/>
        </w:rPr>
        <w:t>Figure 1 | Current (a) vs new (b) assessment logic (schematic). Shaded band: range across submitted scenarios; solid line: ensemble median.</w:t>
      </w:r>
    </w:p>
    <w:p>
      <w:pPr>
        <w:spacing w:before="80" w:after="20"/>
      </w:pPr>
      <w:r>
        <w:rPr>
          <w:b/>
          <w:color w:val="2F6E5B"/>
          <w:sz w:val="20"/>
        </w:rPr>
        <w:t>What the figure shows</w:t>
      </w:r>
    </w:p>
    <w:p>
      <w:pPr>
        <w:pStyle w:val="ListBullet"/>
        <w:spacing w:after="20"/>
      </w:pPr>
      <w:r>
        <w:rPr>
          <w:b/>
          <w:sz w:val="18"/>
        </w:rPr>
        <w:t xml:space="preserve">Panel a (today) — </w:t>
      </w:r>
      <w:r>
        <w:rPr>
          <w:sz w:val="18"/>
        </w:rPr>
        <w:t>Both forward-looking elements come from a single source: WEM/WAM projections answer 'will we meet the benchmark under current and planned policies?', the trend extrapolation answers 'what if we simply continue?', and the EC benchmarks set the goal posts. There is no independent check and no uncertainty range around any of them.</w:t>
      </w:r>
    </w:p>
    <w:p>
      <w:pPr>
        <w:pStyle w:val="ListBullet"/>
        <w:spacing w:after="20"/>
      </w:pPr>
      <w:r>
        <w:rPr>
          <w:b/>
          <w:sz w:val="18"/>
        </w:rPr>
        <w:t xml:space="preserve">Panel b (with the call) — </w:t>
      </w:r>
      <w:r>
        <w:rPr>
          <w:sz w:val="18"/>
        </w:rPr>
        <w:t>Both elements are kept, but the submitted scenario ensemble is added alongside: the shaded band is the range across all submitted runs, the solid line their median. Where the EC projection and benchmarks sit relative to the band shows at a glance whether they are optimistic or conservative against the scientific landscape — and the ensemble reveals futures (such as net-negative emissions) that a single EC trajectory never shows.</w:t>
      </w:r>
    </w:p>
    <w:p>
      <w:pPr>
        <w:pStyle w:val="ListBullet"/>
        <w:spacing w:after="20"/>
      </w:pPr>
      <w:r>
        <w:rPr>
          <w:b/>
          <w:sz w:val="18"/>
        </w:rPr>
        <w:t xml:space="preserve">Why it matters — </w:t>
      </w:r>
      <w:r>
        <w:rPr>
          <w:sz w:val="18"/>
        </w:rPr>
        <w:t>The same comparison is repeated per indicator on the matched flow chart, giving every sector benchmark an independent, scientifically robust corridor — and a documented basis for judging whether EC scenarios are too optimistic or too pessimistic on specific points.</w:t>
      </w:r>
    </w:p>
    <w:p>
      <w:pPr>
        <w:spacing w:before="80" w:after="20"/>
      </w:pPr>
      <w:r>
        <w:rPr>
          <w:b/>
          <w:color w:val="2F6E5B"/>
          <w:sz w:val="20"/>
        </w:rPr>
        <w:t>What would the workflow be on our side?</w:t>
      </w:r>
    </w:p>
    <w:p>
      <w:pPr>
        <w:pStyle w:val="ListBullet"/>
        <w:spacing w:after="20"/>
      </w:pPr>
      <w:r>
        <w:rPr>
          <w:b/>
          <w:sz w:val="18"/>
        </w:rPr>
        <w:t xml:space="preserve">Submission infrastructure — </w:t>
      </w:r>
      <w:r>
        <w:rPr>
          <w:sz w:val="18"/>
        </w:rPr>
        <w:t>Built on the MethodHub, which already bundles the scenario snapshot and the indicator database; teams submit IAMC-template files through a portal — no new platform needed.</w:t>
      </w:r>
    </w:p>
    <w:p>
      <w:pPr>
        <w:pStyle w:val="ListBullet"/>
        <w:spacing w:after="20"/>
      </w:pPr>
      <w:r>
        <w:rPr>
          <w:b/>
          <w:sz w:val="18"/>
        </w:rPr>
        <w:t xml:space="preserve">Automated matching — </w:t>
      </w:r>
      <w:r>
        <w:rPr>
          <w:sz w:val="18"/>
        </w:rPr>
        <w:t>A prototype flow chart ('Scenario call') already maps every indicator — mitigation and adaptation — to a template variable and submission track; submitted runs resolve against it automatically.</w:t>
      </w:r>
    </w:p>
    <w:p>
      <w:pPr>
        <w:pStyle w:val="ListBullet"/>
        <w:spacing w:after="20"/>
      </w:pPr>
      <w:r>
        <w:rPr>
          <w:b/>
          <w:sz w:val="18"/>
        </w:rPr>
        <w:t xml:space="preserve">Filtering &amp; analysis — </w:t>
      </w:r>
      <w:r>
        <w:rPr>
          <w:sz w:val="18"/>
        </w:rPr>
        <w:t>Vetting, filtering and corridor analysis run in the existing MethodHub pipeline (harmonisation diagnostics as used for the current snapshot).</w:t>
      </w:r>
    </w:p>
    <w:p>
      <w:pPr>
        <w:pStyle w:val="ListBullet"/>
        <w:spacing w:after="20"/>
      </w:pPr>
      <w:r>
        <w:rPr>
          <w:b/>
          <w:sz w:val="18"/>
        </w:rPr>
        <w:t xml:space="preserve">Distribution — </w:t>
      </w:r>
      <w:r>
        <w:rPr>
          <w:sz w:val="18"/>
        </w:rPr>
        <w:t>The main genuine effort. With Keywan Riahi (MESSAGEix-GLOBIOM, IIASA) and Detlef van Vuuren (IMAGE, PBL) on the board, the call travels through the IAMC, ECEMF and NAVIGATE/ENGAGE networks at essentially no cost and with high credibility.</w:t>
      </w:r>
    </w:p>
    <w:p>
      <w:pPr>
        <w:spacing w:before="80" w:after="20"/>
      </w:pPr>
      <w:r>
        <w:rPr>
          <w:b/>
          <w:color w:val="2F6E5B"/>
          <w:sz w:val="20"/>
        </w:rPr>
        <w:t>Benefits</w:t>
      </w:r>
    </w:p>
    <w:p>
      <w:pPr>
        <w:pStyle w:val="ListBullet"/>
        <w:spacing w:after="20"/>
      </w:pPr>
      <w:r>
        <w:rPr>
          <w:b/>
          <w:sz w:val="18"/>
        </w:rPr>
        <w:t xml:space="preserve">Quantified, independent monitoring — </w:t>
      </w:r>
      <w:r>
        <w:rPr>
          <w:sz w:val="18"/>
        </w:rPr>
        <w:t>Every indicator gains a scenario corridor, and EC scenarios can be assessed against the broader scientific landscape (see figure).</w:t>
      </w:r>
    </w:p>
    <w:p>
      <w:pPr>
        <w:pStyle w:val="ListBullet"/>
        <w:spacing w:after="20"/>
      </w:pPr>
      <w:r>
        <w:rPr>
          <w:b/>
          <w:sz w:val="18"/>
        </w:rPr>
        <w:t xml:space="preserve">Broader, fresher evidence at low cost — </w:t>
      </w:r>
      <w:r>
        <w:rPr>
          <w:sz w:val="18"/>
        </w:rPr>
        <w:t>An open multi-team ensemble beats any single study; sectoral submissions fill IAM blind spots (renovation rates, mode shares, livestock intensities); tooling is an extension of existing infrastructure.</w:t>
      </w:r>
    </w:p>
    <w:p>
      <w:pPr>
        <w:pStyle w:val="ListBullet"/>
        <w:spacing w:after="20"/>
      </w:pPr>
      <w:r>
        <w:rPr>
          <w:b/>
          <w:sz w:val="18"/>
        </w:rPr>
        <w:t xml:space="preserve">Transparency — </w:t>
      </w:r>
      <w:r>
        <w:rPr>
          <w:sz w:val="18"/>
        </w:rPr>
        <w:t>A documented open call with published criteria strengthens the board's independence over ad-hoc scenario selection.</w:t>
      </w:r>
    </w:p>
    <w:p>
      <w:pPr>
        <w:spacing w:before="80" w:after="20"/>
      </w:pPr>
      <w:r>
        <w:rPr>
          <w:b/>
          <w:color w:val="2F6E5B"/>
          <w:sz w:val="20"/>
        </w:rPr>
        <w:t>Risks — and why they are manageable</w:t>
      </w:r>
    </w:p>
    <w:p>
      <w:pPr>
        <w:pStyle w:val="ListBullet"/>
        <w:spacing w:after="20"/>
      </w:pPr>
      <w:r>
        <w:rPr>
          <w:b/>
          <w:sz w:val="18"/>
        </w:rPr>
        <w:t xml:space="preserve">Low or skewed response — </w:t>
      </w:r>
      <w:r>
        <w:rPr>
          <w:sz w:val="18"/>
        </w:rPr>
        <w:t>The central risk — mitigated by network distribution, a low submission burden (standard IAMC template), and seeding with the 63 runs already held so the tool works from day one.</w:t>
      </w:r>
    </w:p>
    <w:p>
      <w:pPr>
        <w:pStyle w:val="ListBullet"/>
        <w:spacing w:after="20"/>
      </w:pPr>
      <w:r>
        <w:rPr>
          <w:b/>
          <w:sz w:val="18"/>
        </w:rPr>
        <w:t xml:space="preserve">Quality and comparability — </w:t>
      </w:r>
      <w:r>
        <w:rPr>
          <w:sz w:val="18"/>
        </w:rPr>
        <w:t>Automated vetting and harmonisation diagnostics plus published inclusion criteria; submission does not imply endorsement.</w:t>
      </w:r>
    </w:p>
    <w:p>
      <w:pPr>
        <w:pStyle w:val="ListBullet"/>
        <w:spacing w:after="20"/>
      </w:pPr>
      <w:r>
        <w:rPr>
          <w:b/>
          <w:sz w:val="18"/>
        </w:rPr>
        <w:t xml:space="preserve">Coverage gaps — </w:t>
      </w:r>
      <w:r>
        <w:rPr>
          <w:sz w:val="18"/>
        </w:rPr>
        <w:t>Non-standard outputs (circular material use, food waste, renovation equity) are flagged as requested variables; the sectoral and impact-model tracks recruit the teams that can report them.</w:t>
      </w:r>
    </w:p>
    <w:p>
      <w:pPr>
        <w:spacing w:before="80" w:after="20"/>
      </w:pPr>
      <w:r>
        <w:rPr>
          <w:b/>
          <w:color w:val="2F6E5B"/>
          <w:sz w:val="20"/>
        </w:rPr>
        <w:t>Bottom line</w:t>
      </w:r>
    </w:p>
    <w:p>
      <w:r>
        <w:rPr>
          <w:i w:val="0"/>
          <w:sz w:val="18"/>
        </w:rPr>
        <w:t>Feasible with modest effort: infrastructure and analysis tooling are deliverable on the MethodHub, indicator matching exists in prototype, and the one real success factor — that teams submit — is where the board is strongest, through Keywan's and Detlef's networks. We propose preparing a pilot call for autumn 2026.</w:t>
      </w:r>
    </w:p>
    <w:sectPr w:rsidR="00FC693F" w:rsidRPr="0006063C" w:rsidSect="00034616">
      <w:pgSz w:w="12240" w:h="15840"/>
      <w:pgMar w:top="624" w:right="850" w:bottom="56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