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B2A4A" w:val="clear"/>
            <w:tcMar>
              <w:top w:type="dxa" w:w="1500"/>
              <w:left w:type="dxa" w:w="500"/>
              <w:bottom w:type="dxa" w:w="1450"/>
              <w:right w:type="dxa" w:w="500"/>
            </w:tcMar>
          </w:tcPr>
          <w:p>
            <w:pPr>
              <w:spacing w:after="1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ai.euhub.co</w:t>
            </w:r>
          </w:p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color w:val="93C5FD"/>
                <w:sz w:val="32"/>
                <w:szCs w:val="32"/>
              </w:rPr>
              <w:t xml:space="preserve">SEO / GEO / AEO Audit Report</w:t>
            </w:r>
          </w:p>
          <w:p>
            <w:pPr>
              <w:spacing w:after="35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RE-AUDIT · LIVE SITE</w:t>
            </w:r>
          </w:p>
          <w:tbl>
            <w:tblPr>
              <w:tblW w:type="dxa" w:w="8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shd w:fill="D97706" w:val="clear"/>
                  <w:tcMar>
                    <w:top w:type="dxa" w:w="160"/>
                    <w:left w:type="dxa" w:w="80"/>
                    <w:bottom w:type="dxa" w:w="160"/>
                    <w:right w:type="dxa" w:w="80"/>
                  </w:tcMar>
                </w:tcPr>
                <w:p>
                  <w:pPr>
                    <w:spacing w:after="20" w:before="0" w:line="276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SEO</w:t>
                  </w:r>
                </w:p>
                <w:p>
                  <w:pPr>
                    <w:spacing w:after="10" w:before="0" w:line="276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56"/>
                      <w:szCs w:val="56"/>
                    </w:rPr>
                    <w:t xml:space="preserve">7/10</w:t>
                  </w:r>
                </w:p>
                <w:p>
                  <w:pPr>
                    <w:spacing w:after="0" w:before="0" w:line="276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FFFFFF"/>
                      <w:sz w:val="15"/>
                      <w:szCs w:val="15"/>
                    </w:rPr>
                    <w:t xml:space="preserve">On Track</w:t>
                  </w:r>
                </w:p>
              </w:tc>
              <w:tc>
                <w:tcPr>
                  <w:shd w:fill="DC2626" w:val="clear"/>
                  <w:tcMar>
                    <w:top w:type="dxa" w:w="160"/>
                    <w:left w:type="dxa" w:w="80"/>
                    <w:bottom w:type="dxa" w:w="160"/>
                    <w:right w:type="dxa" w:w="80"/>
                  </w:tcMar>
                </w:tcPr>
                <w:p>
                  <w:pPr>
                    <w:spacing w:after="20" w:before="0" w:line="276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GEO</w:t>
                  </w:r>
                </w:p>
                <w:p>
                  <w:pPr>
                    <w:spacing w:after="10" w:before="0" w:line="276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56"/>
                      <w:szCs w:val="56"/>
                    </w:rPr>
                    <w:t xml:space="preserve">6/10</w:t>
                  </w:r>
                </w:p>
                <w:p>
                  <w:pPr>
                    <w:spacing w:after="0" w:before="0" w:line="276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FFFFFF"/>
                      <w:sz w:val="15"/>
                      <w:szCs w:val="15"/>
                    </w:rPr>
                    <w:t xml:space="preserve">Needs Work</w:t>
                  </w:r>
                </w:p>
              </w:tc>
              <w:tc>
                <w:tcPr>
                  <w:shd w:fill="DC2626" w:val="clear"/>
                  <w:tcMar>
                    <w:top w:type="dxa" w:w="160"/>
                    <w:left w:type="dxa" w:w="80"/>
                    <w:bottom w:type="dxa" w:w="160"/>
                    <w:right w:type="dxa" w:w="80"/>
                  </w:tcMar>
                </w:tcPr>
                <w:p>
                  <w:pPr>
                    <w:spacing w:after="20" w:before="0" w:line="276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AEO</w:t>
                  </w:r>
                </w:p>
                <w:p>
                  <w:pPr>
                    <w:spacing w:after="10" w:before="0" w:line="276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56"/>
                      <w:szCs w:val="56"/>
                    </w:rPr>
                    <w:t xml:space="preserve">6/10</w:t>
                  </w:r>
                </w:p>
                <w:p>
                  <w:pPr>
                    <w:spacing w:after="0" w:before="0" w:line="276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FFFFFF"/>
                      <w:sz w:val="15"/>
                      <w:szCs w:val="15"/>
                    </w:rPr>
                    <w:t xml:space="preserve">Needs Work</w:t>
                  </w:r>
                </w:p>
              </w:tc>
            </w:tr>
          </w:tbl>
          <w:p>
            <w:pPr>
              <w:spacing w:after="20" w:before="650" w:line="276"/>
              <w:jc w:val="center"/>
            </w:pPr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Audit date: 25 August 2026</w:t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color w:val="94A3B8"/>
                <w:sz w:val="14"/>
                <w:szCs w:val="14"/>
              </w:rPr>
              <w:t xml:space="preserve">Independent live-site reassessment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80" w:before="30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FF6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EUHub AI has a solid multilingual technical foundation: every one of the 21 sitemap URLs returned 200, carries a self-referencing canonical and complete EN/SK/DE/x-default alternate set, and the three homepages provide more than 1,100 crawlable words. The decisive finding is operational: the public site has not yet received the completed SEO/GEO/AEO implementation branch. All 21 live HTML responses remain private/no-store, and the data-residency and portability pages are still thin, lack semantic article structure and do not expose matching FAQ schema. The first priority is a controlled deployment followed by the live smoke gate—not a new content strategy.</w:t>
            </w:r>
          </w:p>
        </w:tc>
      </w:tr>
    </w:tbl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500"/>
        <w:gridCol w:w="1100"/>
        <w:gridCol w:w="1500"/>
        <w:gridCol w:w="5260"/>
      </w:tblGrid>
      <w:tr>
        <w:tc>
          <w:tcPr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Dimension</w:t>
            </w:r>
          </w:p>
        </w:tc>
        <w:tc>
          <w:tcPr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</w:t>
            </w:r>
          </w:p>
        </w:tc>
        <w:tc>
          <w:tcPr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takeaway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SEO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7/10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On Track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Strong metadata, sitemap and hreflang; live cache and content deployment gap remain.</w:t>
            </w:r>
          </w:p>
        </w:tc>
      </w:tr>
      <w:tr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GEO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6/10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Needs Work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Clear entity/service signals, but approved expert bylines, source-led guides and proof remain limited live.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AEO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6/10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Needs Work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AI Act FAQPage is useful; other guides are too short and lack structured answer formats.</w:t>
            </w:r>
          </w:p>
        </w:tc>
      </w:tr>
      <w:tr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Combined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19/30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Needs Attention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The implementation exists on the feature branch but is not live.</w:t>
            </w:r>
          </w:p>
        </w:tc>
      </w:tr>
    </w:tbl>
    <w:p>
      <w:pPr>
        <w:pStyle w:val="Heading1"/>
        <w:spacing w:after="180" w:before="30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Pages Audited</w:t>
      </w:r>
    </w:p>
    <w:p>
      <w:pPr>
        <w:spacing w:after="150" w:before="0" w:line="276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Full crawl: all 21 URLs declared in the live XML sitemap. The nine legal-policy URLs were checked for indexability and internationalization; the twelve home and strategic-guide URLs received content, schema and answer-format analysis.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3500"/>
        <w:gridCol w:w="1500"/>
        <w:gridCol w:w="4360"/>
      </w:tblGrid>
      <w:tr>
        <w:tc>
          <w:tcPr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URL</w:t>
            </w:r>
          </w:p>
        </w:tc>
        <w:tc>
          <w:tcPr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Page type</w:t>
            </w:r>
          </w:p>
        </w:tc>
        <w:tc>
          <w:tcPr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Live observation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https://ai.euhub.co/en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Homepage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1,293 words; Organization, Person, Service schema; private/no-store</w:t>
            </w:r>
          </w:p>
        </w:tc>
      </w:tr>
      <w:tr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https://ai.euhub.co/sk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Homepage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1,318 words; localized metadata/schema; private/no-store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https://ai.euhub.co/de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Homepage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1,196 words; localized metadata/schema; private/no-store</w:t>
            </w:r>
          </w:p>
        </w:tc>
      </w:tr>
      <w:tr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https://ai.euhub.co/en/ai-act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Compliance guide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656 words; FAQPage; no semantic article; private/no-store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https://ai.euhub.co/sk/ai-act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Compliance guide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644 words; FAQPage; no semantic article; private/no-store</w:t>
            </w:r>
          </w:p>
        </w:tc>
      </w:tr>
      <w:tr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https://ai.euhub.co/de/ai-act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Compliance guide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664 words; FAQPage; no semantic article; private/no-store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https://ai.euhub.co/en/data-residency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Compliance guide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509 words; no FAQPage/article; private/no-store</w:t>
            </w:r>
          </w:p>
        </w:tc>
      </w:tr>
      <w:tr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https://ai.euhub.co/sk/data-residency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Compliance guide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502 words; no FAQPage/article; private/no-store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https://ai.euhub.co/de/data-residency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Compliance guide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495 words; no FAQPage/article; private/no-store</w:t>
            </w:r>
          </w:p>
        </w:tc>
      </w:tr>
      <w:tr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https://ai.euhub.co/en/portability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Buyer guide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251 words; no FAQPage/article/table; private/no-store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https://ai.euhub.co/sk/portability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Buyer guide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264 words; no FAQPage/article/table; private/no-store</w:t>
            </w:r>
          </w:p>
        </w:tc>
      </w:tr>
      <w:tr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https://ai.euhub.co/de/portability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Buyer guide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247 words; no FAQPage/article/table; private/no-store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https://ai.euhub.co/en/privacy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Legal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Indexable, localized alternate set; private/no-store</w:t>
            </w:r>
          </w:p>
        </w:tc>
      </w:tr>
      <w:tr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https://ai.euhub.co/sk/privacy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Legal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Indexable, localized alternate set; private/no-store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https://ai.euhub.co/de/privacy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Legal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Indexable, localized alternate set; private/no-store</w:t>
            </w:r>
          </w:p>
        </w:tc>
      </w:tr>
      <w:tr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https://ai.euhub.co/en/terms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Legal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Indexable, localized alternate set; private/no-store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https://ai.euhub.co/sk/terms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Legal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Indexable, localized alternate set; private/no-store</w:t>
            </w:r>
          </w:p>
        </w:tc>
      </w:tr>
      <w:tr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https://ai.euhub.co/de/terms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Legal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Indexable, localized alternate set; private/no-store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https://ai.euhub.co/en/cookie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Legal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Indexable, localized alternate set; private/no-store</w:t>
            </w:r>
          </w:p>
        </w:tc>
      </w:tr>
      <w:tr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https://ai.euhub.co/sk/cookie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Legal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Indexable, localized alternate set; private/no-store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https://ai.euhub.co/de/cookie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Legal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Indexable, localized alternate set; private/no-store</w:t>
            </w:r>
          </w:p>
        </w:tc>
      </w:tr>
    </w:tbl>
    <w:p>
      <w:pPr>
        <w:pStyle w:val="Heading1"/>
        <w:spacing w:after="180" w:before="30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SEO Analysis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Technical On-Page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300"/>
        <w:gridCol w:w="5500"/>
        <w:gridCol w:w="1560"/>
      </w:tblGrid>
      <w:tr>
        <w:tc>
          <w:tcPr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Signal</w:t>
            </w:r>
          </w:p>
        </w:tc>
        <w:tc>
          <w:tcPr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Finding</w:t>
            </w:r>
          </w:p>
        </w:tc>
        <w:tc>
          <w:tcPr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Crawlability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robots.txt allows crawling, declares the sitemap and only disallows /private/. All 21 sitemap URLs returned HTTP 200.</w:t>
            </w:r>
          </w:p>
        </w:tc>
        <w:tc>
          <w:tcPr>
            <w:shd w:fill="16A3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Good</w:t>
            </w:r>
          </w:p>
        </w:tc>
      </w:tr>
      <w:tr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International SEO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Every audited URL exposes matching html lang plus EN/SK/DE/x-default alternates; the sitemap also carries xhtml:link alternates.</w:t>
            </w:r>
          </w:p>
        </w:tc>
        <w:tc>
          <w:tcPr>
            <w:shd w:fill="16A3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Good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Canonical and metadata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The live smoke audit found no missing title, description or canonical, and no canonical mismatch across all 21 URLs.</w:t>
            </w:r>
          </w:p>
        </w:tc>
        <w:tc>
          <w:tcPr>
            <w:shd w:fill="16A3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Good</w:t>
            </w:r>
          </w:p>
        </w:tc>
      </w:tr>
      <w:tr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Caching / rendering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Every live marketing response returns cache-control: private, no-cache, no-store, max-age=0, must-revalidate. This is the old dynamic behavior.</w:t>
            </w:r>
          </w:p>
        </w:tc>
        <w:tc>
          <w:tcPr>
            <w:shd w:fill="D9770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Needs Attention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Sitemap freshness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Sitemap lastmod values remain 2026-07-21 for every URL, including pages that will materially change on deployment.</w:t>
            </w:r>
          </w:p>
        </w:tc>
        <w:tc>
          <w:tcPr>
            <w:shd w:fill="D9770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Needs Attention</w:t>
            </w:r>
          </w:p>
        </w:tc>
      </w:tr>
      <w:tr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Security headers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HTTPS, HSTS, nosniff, SAMEORIGIN and a report-only CSP are present. The CSP is not yet enforced.</w:t>
            </w:r>
          </w:p>
        </w:tc>
        <w:tc>
          <w:tcPr>
            <w:shd w:fill="D9770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Needs Attention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Content Quality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300"/>
        <w:gridCol w:w="5500"/>
        <w:gridCol w:w="1560"/>
      </w:tblGrid>
      <w:tr>
        <w:tc>
          <w:tcPr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Signal</w:t>
            </w:r>
          </w:p>
        </w:tc>
        <w:tc>
          <w:tcPr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Finding</w:t>
            </w:r>
          </w:p>
        </w:tc>
        <w:tc>
          <w:tcPr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Homepage depth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EN/SK/DE homepages have 1,293 / 1,318 / 1,196 visible words respectively, with useful section hierarchy and internal routes.</w:t>
            </w:r>
          </w:p>
        </w:tc>
        <w:tc>
          <w:tcPr>
            <w:shd w:fill="16A3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Good</w:t>
            </w:r>
          </w:p>
        </w:tc>
      </w:tr>
      <w:tr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AI Act depth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EN/SK/DE pages have 656 / 644 / 664 words with question-led H2s and a visible FAQ pattern.</w:t>
            </w:r>
          </w:p>
        </w:tc>
        <w:tc>
          <w:tcPr>
            <w:shd w:fill="16A3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Good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Data residency depth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EN/SK/DE pages have 509 / 502 / 495 words. They are below the 700-word minimum established for strategic compliance pages.</w:t>
            </w:r>
          </w:p>
        </w:tc>
        <w:tc>
          <w:tcPr>
            <w:shd w:fill="D9770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Needs Attention</w:t>
            </w:r>
          </w:p>
        </w:tc>
      </w:tr>
      <w:tr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Portability depth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EN/SK/DE pages have only 251 / 264 / 247 words, well below the 700-word strategic-guide floor.</w:t>
            </w:r>
          </w:p>
        </w:tc>
        <w:tc>
          <w:tcPr>
            <w:shd w:fill="DC262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Missing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Freshness and bylines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 live reviewed/updated dates or approved full author/reviewer identities were found on the high-stakes guide pages.</w:t>
            </w:r>
          </w:p>
        </w:tc>
        <w:tc>
          <w:tcPr>
            <w:shd w:fill="D9770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Needs Attention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Structured Data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300"/>
        <w:gridCol w:w="5500"/>
        <w:gridCol w:w="1560"/>
      </w:tblGrid>
      <w:tr>
        <w:tc>
          <w:tcPr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Signal</w:t>
            </w:r>
          </w:p>
        </w:tc>
        <w:tc>
          <w:tcPr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Finding</w:t>
            </w:r>
          </w:p>
        </w:tc>
        <w:tc>
          <w:tcPr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Homepage entity graph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Organization, PostalAddress, WebSite, Person, Service, Place, OfferCatalog and Offer JSON-LD are present across the localized homepages.</w:t>
            </w:r>
          </w:p>
        </w:tc>
        <w:tc>
          <w:tcPr>
            <w:shd w:fill="16A3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Good</w:t>
            </w:r>
          </w:p>
        </w:tc>
      </w:tr>
      <w:tr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AI Act answers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Each AI Act locale contains parseable FAQPage, Question and Answer schema alongside WebPage and BreadcrumbList.</w:t>
            </w:r>
          </w:p>
        </w:tc>
        <w:tc>
          <w:tcPr>
            <w:shd w:fill="16A3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Good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Other strategic guides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Data-residency and portability only expose WebPage/Organization/BreadcrumbList; no visible FAQ schema was found.</w:t>
            </w:r>
          </w:p>
        </w:tc>
        <w:tc>
          <w:tcPr>
            <w:shd w:fill="D9770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Needs Attention</w:t>
            </w:r>
          </w:p>
        </w:tc>
      </w:tr>
      <w:tr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Schema syntax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The live smoke check parsed JSON-LD successfully across the entire sitemap.</w:t>
            </w:r>
          </w:p>
        </w:tc>
        <w:tc>
          <w:tcPr>
            <w:shd w:fill="16A3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Good</w:t>
            </w:r>
          </w:p>
        </w:tc>
      </w:tr>
    </w:tbl>
    <w:p>
      <w:pPr>
        <w:pStyle w:val="Heading1"/>
        <w:spacing w:after="180" w:before="30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GEO Analysis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E-E-A-T Assessment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300"/>
        <w:gridCol w:w="5500"/>
        <w:gridCol w:w="1560"/>
      </w:tblGrid>
      <w:tr>
        <w:tc>
          <w:tcPr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Signal</w:t>
            </w:r>
          </w:p>
        </w:tc>
        <w:tc>
          <w:tcPr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Finding</w:t>
            </w:r>
          </w:p>
        </w:tc>
        <w:tc>
          <w:tcPr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People and organization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The homepage names three team members by initial and role and includes LinkedIn links, a Slovak address and hello@euhub-ai.com.</w:t>
            </w:r>
          </w:p>
        </w:tc>
        <w:tc>
          <w:tcPr>
            <w:shd w:fill="16A3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Good</w:t>
            </w:r>
          </w:p>
        </w:tc>
      </w:tr>
      <w:tr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Expert identity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Initials and broad roles are weaker than approved full names, biographies, credentials, stable profile pages and reviewer relationships for compliance content.</w:t>
            </w:r>
          </w:p>
        </w:tc>
        <w:tc>
          <w:tcPr>
            <w:shd w:fill="D9770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Needs Attention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First-party proof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The live homepage includes a concrete LKW-Control × FAIA engagement narrative, but it lacks a standalone, approved evidence page with methodology or attributable measurement.</w:t>
            </w:r>
          </w:p>
        </w:tc>
        <w:tc>
          <w:tcPr>
            <w:shd w:fill="D9770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Needs Attention</w:t>
            </w:r>
          </w:p>
        </w:tc>
      </w:tr>
      <w:tr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Contact and entity consistency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EUHub AI, its contact email and Banská Bystrica address are consistently present. No assessment of external profile consistency was possible from the crawl.</w:t>
            </w:r>
          </w:p>
        </w:tc>
        <w:tc>
          <w:tcPr>
            <w:shd w:fill="16A3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Good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Content for AI Synthesis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300"/>
        <w:gridCol w:w="5500"/>
        <w:gridCol w:w="1560"/>
      </w:tblGrid>
      <w:tr>
        <w:tc>
          <w:tcPr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Signal</w:t>
            </w:r>
          </w:p>
        </w:tc>
        <w:tc>
          <w:tcPr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Finding</w:t>
            </w:r>
          </w:p>
        </w:tc>
        <w:tc>
          <w:tcPr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Claim clarity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The homepage clearly states its implementation and diagnostic proposition; the guide pages lead with concise topic framing.</w:t>
            </w:r>
          </w:p>
        </w:tc>
        <w:tc>
          <w:tcPr>
            <w:shd w:fill="16A3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Good</w:t>
            </w:r>
          </w:p>
        </w:tc>
      </w:tr>
      <w:tr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Factual source trail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The live data-residency and portability pages do not expose external primary-source citations. AI Act content includes dates and duties but lacks visible source links.</w:t>
            </w:r>
          </w:p>
        </w:tc>
        <w:tc>
          <w:tcPr>
            <w:shd w:fill="D9770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Needs Attention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Originality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The live FAIA narrative and simulated example are useful differentiators; simulations are labeled, which avoids representing them as delivered outcomes.</w:t>
            </w:r>
          </w:p>
        </w:tc>
        <w:tc>
          <w:tcPr>
            <w:shd w:fill="16A3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Good</w:t>
            </w:r>
          </w:p>
        </w:tc>
      </w:tr>
      <w:tr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Machine-readable discovery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llms.txt is present and accurately routes crawlers to services and the three compliance guides. It is a supplementary discovery file, not a ranking signal.</w:t>
            </w:r>
          </w:p>
        </w:tc>
        <w:tc>
          <w:tcPr>
            <w:shd w:fill="16A3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Good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Technical GEO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300"/>
        <w:gridCol w:w="5500"/>
        <w:gridCol w:w="1560"/>
      </w:tblGrid>
      <w:tr>
        <w:tc>
          <w:tcPr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Signal</w:t>
            </w:r>
          </w:p>
        </w:tc>
        <w:tc>
          <w:tcPr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Finding</w:t>
            </w:r>
          </w:p>
        </w:tc>
        <w:tc>
          <w:tcPr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Crawlable HTML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The site serves full server-rendered HTML and allows crawling; no JavaScript-only content barrier was observed.</w:t>
            </w:r>
          </w:p>
        </w:tc>
        <w:tc>
          <w:tcPr>
            <w:shd w:fill="16A3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Good</w:t>
            </w:r>
          </w:p>
        </w:tc>
      </w:tr>
      <w:tr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Cache efficiency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No-store HTML can increase repeated origin work and is inconsistent with a stable marketing-content delivery model.</w:t>
            </w:r>
          </w:p>
        </w:tc>
        <w:tc>
          <w:tcPr>
            <w:shd w:fill="D9770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Needs Attention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Brand graph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Organization/Person schema and LinkedIn links provide a starting entity graph; legal identity, logo and verified sameAs data need approval before expansion.</w:t>
            </w:r>
          </w:p>
        </w:tc>
        <w:tc>
          <w:tcPr>
            <w:shd w:fill="D9770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Needs Attention</w:t>
            </w:r>
          </w:p>
        </w:tc>
      </w:tr>
    </w:tbl>
    <w:p>
      <w:pPr>
        <w:pStyle w:val="Heading1"/>
        <w:spacing w:after="180" w:before="30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AEO Analysis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Featured Snippet Eligibility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300"/>
        <w:gridCol w:w="5500"/>
        <w:gridCol w:w="1560"/>
      </w:tblGrid>
      <w:tr>
        <w:tc>
          <w:tcPr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Signal</w:t>
            </w:r>
          </w:p>
        </w:tc>
        <w:tc>
          <w:tcPr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Finding</w:t>
            </w:r>
          </w:p>
        </w:tc>
        <w:tc>
          <w:tcPr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Direct answers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The pages frame topics clearly, but the live data-residency and portability pages lack 40–60 word answer blocks followed by comprehensive decision support.</w:t>
            </w:r>
          </w:p>
        </w:tc>
        <w:tc>
          <w:tcPr>
            <w:shd w:fill="D9770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Needs Attention</w:t>
            </w:r>
          </w:p>
        </w:tc>
      </w:tr>
      <w:tr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Question coverage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AI Act uses seven question-led headings in each locale. Data residency uses descriptive headings; portability mostly uses statement headings.</w:t>
            </w:r>
          </w:p>
        </w:tc>
        <w:tc>
          <w:tcPr>
            <w:shd w:fill="D9770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Needs Attention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Lists and tables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Homepages use useful deliverable lists. None of the six live data-residency/portability pages contains a comparison table.</w:t>
            </w:r>
          </w:p>
        </w:tc>
        <w:tc>
          <w:tcPr>
            <w:shd w:fill="DC262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Missing</w:t>
            </w:r>
          </w:p>
        </w:tc>
      </w:tr>
      <w:tr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Conversational language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The AI Act FAQs and contact language are readable and direct across all three locales.</w:t>
            </w:r>
          </w:p>
        </w:tc>
        <w:tc>
          <w:tcPr>
            <w:shd w:fill="16A3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Good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Structured Answer Formats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300"/>
        <w:gridCol w:w="5500"/>
        <w:gridCol w:w="1560"/>
      </w:tblGrid>
      <w:tr>
        <w:tc>
          <w:tcPr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Signal</w:t>
            </w:r>
          </w:p>
        </w:tc>
        <w:tc>
          <w:tcPr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Finding</w:t>
            </w:r>
          </w:p>
        </w:tc>
        <w:tc>
          <w:tcPr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FAQPage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Present and aligned to the AI Act guide family only.</w:t>
            </w:r>
          </w:p>
        </w:tc>
        <w:tc>
          <w:tcPr>
            <w:shd w:fill="16A3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Good</w:t>
            </w:r>
          </w:p>
        </w:tc>
      </w:tr>
      <w:tr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FAQ coverage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 live FAQPage is present on data-residency or portability despite their buyer-question potential.</w:t>
            </w:r>
          </w:p>
        </w:tc>
        <w:tc>
          <w:tcPr>
            <w:shd w:fill="DC262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Missing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Semantic article structure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None of the nine live strategic guide pages has an article landmark. The completed branch adds this structure.</w:t>
            </w:r>
          </w:p>
        </w:tc>
        <w:tc>
          <w:tcPr>
            <w:shd w:fill="D9770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Needs Attention</w:t>
            </w:r>
          </w:p>
        </w:tc>
      </w:tr>
      <w:tr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Speakable / HowTo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Not found. Their absence is not an issue unless the site publishes genuinely suitable visible content.</w:t>
            </w:r>
          </w:p>
        </w:tc>
        <w:tc>
          <w:tcPr>
            <w:shd w:fill="16A3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Good</w:t>
            </w:r>
          </w:p>
        </w:tc>
      </w:tr>
    </w:tbl>
    <w:p>
      <w:pPr>
        <w:pStyle w:val="Heading1"/>
        <w:spacing w:after="180" w:before="30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Priority Recommendations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Priority</w:t>
            </w:r>
          </w:p>
        </w:tc>
        <w:tc>
          <w:tcPr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Issue</w:t>
            </w:r>
          </w:p>
        </w:tc>
        <w:tc>
          <w:tcPr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Dimension</w:t>
            </w:r>
          </w:p>
        </w:tc>
        <w:tc>
          <w:tcPr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Effort</w:t>
            </w:r>
          </w:p>
        </w:tc>
        <w:tc>
          <w:tcPr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Impact</w:t>
            </w:r>
          </w:p>
        </w:tc>
      </w:tr>
      <w:tr>
        <w:tc>
          <w:tcPr>
            <w:shd w:fill="DC262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Critical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Deploy branch feat/seo-geo-aeo-10of10. The live site is serving the older implementation: all 21 URLs are private/no-store and the enhanced guide content is absent.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SEO / GEO / AEO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Low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Very high</w:t>
            </w:r>
          </w:p>
        </w:tc>
      </w:tr>
      <w:tr>
        <w:tc>
          <w:tcPr>
            <w:shd w:fill="EA580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High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Run the post-deploy smoke gate against ai.euhub.co and resolve it before IndexNow submission. The live run currently reports 42 failures.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SEO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Low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Very high</w:t>
            </w:r>
          </w:p>
        </w:tc>
      </w:tr>
      <w:tr>
        <w:tc>
          <w:tcPr>
            <w:shd w:fill="EA580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High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Secure fluent human editorial and legal review of the EN/SK/DE compliance-guide content and citations before publishing the already-prepared material.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GEO / AEO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Medium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High</w:t>
            </w:r>
          </w:p>
        </w:tc>
      </w:tr>
      <w:tr>
        <w:tc>
          <w:tcPr>
            <w:shd w:fill="EA580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High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Verify Search Console and Bing ownership, submit the sitemap, and inspect strategic EN/SK/DE URLs after deployment.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SEO / GEO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Medium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High</w:t>
            </w:r>
          </w:p>
        </w:tc>
      </w:tr>
      <w:tr>
        <w:tc>
          <w:tcPr>
            <w:shd w:fill="D9770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Medium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Publish only approved author/reviewer identities, reviewed dates and evidence notes; do not manufacture credentials or client outcomes.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GEO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Medium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High</w:t>
            </w:r>
          </w:p>
        </w:tc>
      </w:tr>
      <w:tr>
        <w:tc>
          <w:tcPr>
            <w:shd w:fill="D9770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Medium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Measure field Core Web Vitals in Search Console/CrUX and mobile lab performance in PageSpeed Insights once its public quota is available.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SEO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Low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Medium</w:t>
            </w:r>
          </w:p>
        </w:tc>
      </w:tr>
      <w:tr>
        <w:tc>
          <w:tcPr>
            <w:shd w:fill="16A3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Quick Win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Replace the sitemap’s static July lastmod values with genuine content modification dates when the guides ship.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SEO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Low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Medium</w:t>
            </w:r>
          </w:p>
        </w:tc>
      </w:tr>
    </w:tbl>
    <w:p>
      <w:pPr>
        <w:pStyle w:val="Heading1"/>
        <w:spacing w:after="180" w:before="30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What’s Working Well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DF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All 21 sitemap URLs returned 200 and passed title, description, canonical, hreflang, html-language, image-alt, JSON-LD parseability and internal-link checks.
• The EN/SK/DE sitemap architecture is clean and reciprocal, with in-page and sitemap-level language alternates.
• The homepage has substantial, differentiated service content, organization/person/service schema, a physical address, email contact and a concrete engagement narrative.
• The AI Act family already has visible question-led content and matching FAQPage markup.
• Robots.txt and llms.txt are present, readable and aligned with the public information architecture.</w:t>
            </w:r>
          </w:p>
        </w:tc>
      </w:tr>
    </w:tbl>
    <w:p>
      <w:pPr>
        <w:pStyle w:val="Heading1"/>
        <w:spacing w:after="180" w:before="30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Measurement Limits and 10/10 Gate</w:t>
      </w:r>
    </w:p>
    <w:p>
      <w:pPr>
        <w:spacing w:after="150" w:before="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audit measured live HTML, headers, sitemap/robots/llms files and a full 21-URL integration smoke check on 25 August 2026. It did not measure backlinks, Search Console coverage, Bing ownership, field Core Web Vitals, rich-result eligibility, or citations in ChatGPT Search, Perplexity, Gemini or Google AI features. The public PageSpeed endpoint returned a quota-exceeded response during this audit; no performance score is inferred.</w:t>
      </w:r>
    </w:p>
    <w:p>
      <w:pPr>
        <w:spacing w:after="150" w:before="0" w:line="276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The live site should not claim 10/10 yet. The feature branch contains the technical and content changes needed to address the biggest live defects, but deployment, human legal/native-language review, approved public identities, client evidence, indexation evidence and field performance evidence are still required.</w:t>
      </w:r>
    </w:p>
    <w:p>
      <w:pPr>
        <w:pStyle w:val="Heading1"/>
        <w:spacing w:after="180" w:before="30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Glossary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SEO</w:t>
      </w:r>
    </w:p>
    <w:p>
      <w:pPr>
        <w:spacing w:after="150" w:before="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Search engine optimization: making pages easy to crawl, understand, index and rank in conventional search.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GEO</w:t>
      </w:r>
    </w:p>
    <w:p>
      <w:pPr>
        <w:spacing w:after="150" w:before="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Generative engine optimization: publishing clear, sourced, trustworthy material that AI-powered search systems can accurately synthesize and cite.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AEO</w:t>
      </w:r>
    </w:p>
    <w:p>
      <w:pPr>
        <w:spacing w:after="150" w:before="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Answer engine optimization: structuring visible content so search and voice systems can extract concise, useful answers, lists and comparisons.</w:t>
      </w:r>
    </w:p>
    <w:sectPr>
      <w:headerReference w:type="default" r:id="rId7"/>
      <w:footerReference w:type="default" r:id="rId8"/>
      <w:pgSz w:w="12240" w:h="15840" w:orient="portrait"/>
      <w:pgMar w:top="108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360"/>
      <w:tblBorders>
        <w:top w:val="single" w:color="E2E8F0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Mar>
            <w:top w:type="dxa" w:w="90"/>
            <w:left w:type="dxa" w:w="110"/>
            <w:bottom w:type="dxa" w:w="90"/>
            <w:right w:type="dxa" w:w="110"/>
          </w:tcMar>
          <w:vAlign w:val="center"/>
        </w:tcPr>
        <w:p>
          <w:pPr>
            <w:jc w:val="left"/>
          </w:pPr>
          <w:r>
            <w:rPr>
              <w:rFonts w:ascii="Arial" w:cs="Arial" w:eastAsia="Arial" w:hAnsi="Arial"/>
              <w:color w:val="64748B"/>
              <w:sz w:val="14"/>
              <w:szCs w:val="14"/>
            </w:rPr>
            <w:t xml:space="preserve">SEO / GEO / AEO re-audit · 25 August 2026</w:t>
          </w:r>
        </w:p>
      </w:tc>
      <w:tc>
        <w:tcPr>
          <w:tcMar>
            <w:top w:type="dxa" w:w="90"/>
            <w:left w:type="dxa" w:w="110"/>
            <w:bottom w:type="dxa" w:w="90"/>
            <w:right w:type="dxa" w:w="11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4748B"/>
              <w:sz w:val="14"/>
              <w:szCs w:val="14"/>
            </w:rPr>
            <w:t xml:space="preserve">Page </w:t>
          </w:r>
          <w:r>
            <w:rPr>
              <w:rFonts w:ascii="Arial" w:cs="Arial" w:eastAsia="Arial" w:hAnsi="Arial"/>
              <w:color w:val="64748B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1B2A4A" w:sz="8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Mar>
            <w:top w:type="dxa" w:w="90"/>
            <w:left w:type="dxa" w:w="110"/>
            <w:bottom w:type="dxa" w:w="90"/>
            <w:right w:type="dxa" w:w="110"/>
          </w:tcMar>
          <w:vAlign w:val="center"/>
        </w:tcPr>
        <w:p>
          <w:pPr>
            <w:jc w:val="left"/>
          </w:pPr>
          <w:r>
            <w:rPr>
              <w:rFonts w:ascii="Arial" w:cs="Arial" w:eastAsia="Arial" w:hAnsi="Arial"/>
              <w:b/>
              <w:bCs/>
              <w:color w:val="1B2A4A"/>
              <w:sz w:val="16"/>
              <w:szCs w:val="16"/>
            </w:rPr>
            <w:t xml:space="preserve">ai.euhub.co</w:t>
          </w:r>
        </w:p>
      </w:tc>
      <w:tc>
        <w:tcPr>
          <w:tcMar>
            <w:top w:type="dxa" w:w="90"/>
            <w:left w:type="dxa" w:w="110"/>
            <w:bottom w:type="dxa" w:w="90"/>
            <w:right w:type="dxa" w:w="11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1B2A4A"/>
              <w:sz w:val="16"/>
              <w:szCs w:val="16"/>
            </w:rPr>
            <w:t xml:space="preserve">SEO / GEO / AEO Audit Report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ai.euhub.co Full SEO/GEO/AEO Re-audit</dc:title>
  <dc:creator>EUHub AI SEO/GEO/AEO audit</dc:creator>
  <cp:lastModifiedBy>Un-named</cp:lastModifiedBy>
  <cp:revision>1</cp:revision>
  <dcterms:created xsi:type="dcterms:W3CDTF">2026-08-25T08:51:51.721Z</dcterms:created>
  <dcterms:modified xsi:type="dcterms:W3CDTF">2026-08-25T08:51:51.722Z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