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2024-10-15</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2024-10-15</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rPr>
          <w:b/>
        </w:rPr>
        <w:t xml:space="preserve">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Håvard Futsæter (editor)</w:t>
            </w:r>
          </w:p>
        </w:tc>
        <w:tc>
          <w:p>
            <w:pPr>
              <w:jc w:val="left"/>
            </w:pPr>
            <w:r>
              <w:t xml:space="preserve">MET Norway</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API conforms to OGC API - Environmental Data Retrieval - Part 1: Core, Requirements Class: Core and Requirements Class: Collections</w:t>
            </w:r>
          </w:p>
        </w:tc>
      </w:tr>
    </w:tbl>
    <w:p>
      <w:pPr>
        <w:pStyle w:val="Heading2"/>
      </w:pPr>
      <w:bookmarkStart w:id="67" w:name="Xab704452613d69c4d03ecde2f3a4ebd6517a116"/>
      <w:r>
        <w:t xml:space="preserve">OpenAPI</w:t>
      </w:r>
      <w:bookmarkEnd w:id="67"/>
    </w:p>
    <w:p>
      <w:pPr>
        <w:pStyle w:val="FirstParagraph"/>
      </w:pPr>
      <w:r>
        <w:t xml:space="preserve">An OpenAPI specification provides a machine-readable description of the API interface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/req/core/openapi</w:t>
            </w:r>
          </w:p>
        </w:tc>
      </w:tr>
      <w:tr>
        <w:tc>
          <w:p>
            <w:pPr>
              <w:jc w:val="left"/>
            </w:pPr>
            <w:r>
              <w:t xml:space="preserve">A</w:t>
            </w:r>
          </w:p>
        </w:tc>
        <w:tc>
          <w:p>
            <w:pPr>
              <w:jc w:val="left"/>
            </w:pPr>
            <w:r>
              <w:t xml:space="preserve">An API definition SHALL be described using an OpenAPI document (version 3.1 or higher).</w:t>
            </w:r>
          </w:p>
        </w:tc>
      </w:tr>
      <w:tr>
        <w:tc>
          <w:p>
            <w:pPr>
              <w:jc w:val="left"/>
            </w:pPr>
            <w:r>
              <w:t xml:space="preserve">B</w:t>
            </w:r>
          </w:p>
        </w:tc>
        <w:tc>
          <w:p>
            <w:pPr>
              <w:jc w:val="left"/>
            </w:pPr>
            <w:r>
              <w:t xml:space="preserve">The OpenAPI document SHALL be encoded as JSON.</w:t>
            </w:r>
          </w:p>
        </w:tc>
      </w:tr>
      <w:tr>
        <w:tc>
          <w:p>
            <w:pPr>
              <w:jc w:val="left"/>
            </w:pPr>
            <w:r>
              <w:t xml:space="preserve">C</w:t>
            </w:r>
          </w:p>
        </w:tc>
        <w:tc>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p>
            <w:pPr>
              <w:jc w:val="left"/>
            </w:pPr>
            <w:r>
              <w:t xml:space="preserve">D</w:t>
            </w:r>
          </w:p>
        </w:tc>
        <w:tc>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p>
      <w:pPr>
        <w:pStyle w:val="Heading2"/>
      </w:pPr>
      <w:bookmarkStart w:id="68" w:name="X4eea99d7f158701bdd2f72fc5e7e1fcf062ae7c"/>
      <w:r>
        <w:t xml:space="preserve">Collection identifier</w:t>
      </w:r>
      <w:bookmarkEnd w:id="68"/>
    </w:p>
    <w:p>
      <w:pPr>
        <w:pStyle w:val="FirstParagraph"/>
      </w:pPr>
      <w:r>
        <w:t xml:space="preserve">A collection identifier provides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/req/core/collection_identifier</w:t>
            </w:r>
          </w:p>
        </w:tc>
      </w:tr>
      <w:tr>
        <w:tc>
          <w:p>
            <w:pPr>
              <w:jc w:val="left"/>
            </w:pPr>
            <w:r>
              <w:t xml:space="preserve">A</w:t>
            </w:r>
          </w:p>
        </w:tc>
        <w:tc>
          <w:p>
            <w:pPr>
              <w:jc w:val="left"/>
            </w:pPr>
            <w:r>
              <w:t xml:space="preserve">A collection identifier SHALL NOT be used to convey structured metadata.</w:t>
            </w:r>
          </w:p>
        </w:tc>
      </w:tr>
      <w:tr>
        <w:tc>
          <w:p>
            <w:pPr>
              <w:jc w:val="left"/>
            </w:pPr>
            <w:r>
              <w:t xml:space="preserve">B</w:t>
            </w:r>
          </w:p>
        </w:tc>
        <w:tc>
          <w:p>
            <w:pPr>
              <w:jc w:val="left"/>
            </w:pPr>
            <w:r>
              <w:t xml:space="preserve">A collection identifier SHOULD use the following list of values, each suitable for a specific data type: insitu_observations, climate_data, radar_observations, weather_warnings, weather_forecast.</w:t>
            </w:r>
          </w:p>
        </w:tc>
      </w:tr>
      <w:tr>
        <w:tc>
          <w:p>
            <w:pPr>
              <w:jc w:val="left"/>
            </w:pPr>
            <w:r>
              <w:t xml:space="preserve">C</w:t>
            </w:r>
          </w:p>
        </w:tc>
        <w:tc>
          <w:p>
            <w:pPr>
              <w:jc w:val="left"/>
            </w:pPr>
            <w:r>
              <w:t xml:space="preserve">The identifier string MAY if needed include a postfix to the values listed above.</w:t>
            </w:r>
          </w:p>
        </w:tc>
      </w:tr>
    </w:tbl>
    <w:p>
      <w:pPr>
        <w:pStyle w:val="Heading2"/>
      </w:pPr>
      <w:bookmarkStart w:id="69" w:name="X08001dbd29d0e6be037bc524a83e87c4a507bb2"/>
      <w:r>
        <w:t xml:space="preserve">Collection title</w:t>
      </w:r>
      <w:bookmarkEnd w:id="69"/>
    </w:p>
    <w:p>
      <w:pPr>
        <w:pStyle w:val="FirstParagraph"/>
      </w:pPr>
      <w:r>
        <w:t xml:space="preserve">A collection title provides a human readable short description of the given collection.</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/req/core/collection_title</w:t>
            </w:r>
          </w:p>
        </w:tc>
      </w:tr>
      <w:tr>
        <w:tc>
          <w:p>
            <w:pPr>
              <w:jc w:val="left"/>
            </w:pPr>
            <w:r>
              <w:t xml:space="preserve">A</w:t>
            </w:r>
          </w:p>
        </w:tc>
        <w:tc>
          <w:p>
            <w:pPr>
              <w:jc w:val="left"/>
            </w:pPr>
            <w:r>
              <w:t xml:space="preserve">A title SHALL be set for all collections.</w:t>
            </w:r>
          </w:p>
        </w:tc>
      </w:tr>
      <w:tr>
        <w:tc>
          <w:p>
            <w:pPr>
              <w:jc w:val="left"/>
            </w:pPr>
            <w:r>
              <w:t xml:space="preserve">B</w:t>
            </w:r>
          </w:p>
        </w:tc>
        <w:tc>
          <w:p>
            <w:pPr>
              <w:jc w:val="left"/>
            </w:pPr>
            <w:r>
              <w:t xml:space="preserve">A title SHALL NOT have more than 50 characters.</w:t>
            </w:r>
          </w:p>
        </w:tc>
      </w:tr>
      <w:tr>
        <w:tc>
          <w:p>
            <w:pPr>
              <w:jc w:val="left"/>
            </w:pPr>
            <w:r>
              <w:t xml:space="preserve">C</w:t>
            </w:r>
          </w:p>
        </w:tc>
        <w:tc>
          <w:p>
            <w:pPr>
              <w:jc w:val="left"/>
            </w:pPr>
            <w:r>
              <w:t xml:space="preserve">A title SHOULD be written in English.</w:t>
            </w:r>
          </w:p>
        </w:tc>
      </w:tr>
      <w:tr>
        <w:tc>
          <w:p>
            <w:pPr>
              <w:jc w:val="left"/>
            </w:pPr>
            <w:r>
              <w:t xml:space="preserve">D</w:t>
            </w:r>
          </w:p>
        </w:tc>
        <w:tc>
          <w:p>
            <w:pPr>
              <w:jc w:val="left"/>
            </w:pPr>
            <w:r>
              <w:t xml:space="preserve">A title SHOULD have the most important information first, guarding against truncated presentation of the value.</w:t>
            </w:r>
          </w:p>
        </w:tc>
      </w:tr>
      <w:tr>
        <w:tc>
          <w:p>
            <w:pPr>
              <w:jc w:val="left"/>
            </w:pPr>
            <w:r>
              <w:t xml:space="preserve">E</w:t>
            </w:r>
          </w:p>
        </w:tc>
        <w:tc>
          <w:p>
            <w:pPr>
              <w:jc w:val="left"/>
            </w:pPr>
            <w:r>
              <w:t xml:space="preserve">A title SHOULD describe the collection in a way understandable also for non-experts. Usually mention both topic/domain and geographical area.</w:t>
            </w:r>
          </w:p>
        </w:tc>
      </w:tr>
    </w:tbl>
    <w:p>
      <w:pPr>
        <w:pStyle w:val="Heading2"/>
      </w:pPr>
      <w:bookmarkStart w:id="70" w:name="X89061f03edf08760a38c66a833d9eb1ac1e6529"/>
      <w:r>
        <w:t xml:space="preserve">Collection license</w:t>
      </w:r>
      <w:bookmarkEnd w:id="70"/>
    </w:p>
    <w:p>
      <w:pPr>
        <w:pStyle w:val="FirstParagraph"/>
      </w:pPr>
      <w:r>
        <w:t xml:space="preserve">A license describes the usage permissions for the data in a collection.</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/req/core/collection_license</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p>
            <w:pPr>
              <w:jc w:val="left"/>
            </w:pPr>
            <w:r>
              <w:t xml:space="preserve">B</w:t>
            </w:r>
          </w:p>
        </w:tc>
        <w:tc>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p>
            <w:pPr>
              <w:jc w:val="left"/>
            </w:pPr>
            <w:r>
              <w:t xml:space="preserve">D</w:t>
            </w:r>
          </w:p>
        </w:tc>
        <w:tc>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p>
      <w:pPr>
        <w:pStyle w:val="Heading1"/>
      </w:pPr>
      <w:bookmarkStart w:id="71" w:name="X78fdb1f4716baf4c26796c550dad0531813f831"/>
      <w:r>
        <w:t xml:space="preserve">Conformance Class Abstract Test Suite (Normative)</w:t>
      </w:r>
      <w:bookmarkEnd w:id="71"/>
    </w:p>
    <w:p>
      <w:pPr>
        <w:pStyle w:val="Heading2"/>
      </w:pPr>
      <w:bookmarkStart w:id="72" w:name="X832d8df2233b24fd4778b0d5040958f69375ea7"/>
      <w:r>
        <w:t xml:space="preserve">Conformance Class: Core</w:t>
      </w:r>
      <w:bookmarkEnd w:id="72"/>
    </w:p>
    <w:p>
      <w:pPr>
        <w:pStyle w:val="DefinitionTerm"/>
      </w:pPr>
      <w:r>
        <w:t xml:space="preserve">label</w:t>
      </w:r>
    </w:p>
    <w:p>
      <w:pPr>
        <w:pStyle w:val="Definition"/>
      </w:pPr>
      <w:hyperlink r:id="rId73">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4" w:name="Xd6f2056b3487d2dfbe0a79b03081435fb62c5f5"/>
      <w:r>
        <w:t xml:space="preserve">OpenAPI</w:t>
      </w:r>
      <w:bookmarkEnd w:id="74"/>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p>
      <w:pPr>
        <w:pStyle w:val="Heading3"/>
      </w:pPr>
      <w:bookmarkStart w:id="75" w:name="X75d657cfc5a7ba273f61e9f93902a79a40cc98d"/>
      <w:r>
        <w:t xml:space="preserve">Collection identifier</w:t>
      </w:r>
      <w:bookmarkEnd w:id="75"/>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p>
      <w:pPr>
        <w:pStyle w:val="Heading3"/>
      </w:pPr>
      <w:bookmarkStart w:id="76" w:name="X230926959ff8f05e4b67418e37e7f554e413697"/>
      <w:r>
        <w:t xml:space="preserve">Collection title</w:t>
      </w:r>
      <w:bookmarkEnd w:id="76"/>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p>
      <w:pPr>
        <w:pStyle w:val="Heading3"/>
      </w:pPr>
      <w:bookmarkStart w:id="77" w:name="Xa80c8bd34c1c7c950e95addd672e6e4013e6521"/>
      <w:r>
        <w:t xml:space="preserve">Collection license</w:t>
      </w:r>
      <w:bookmarkEnd w:id="77"/>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p>
      <w:pPr>
        <w:pStyle w:val="Heading1"/>
      </w:pPr>
      <w:bookmarkStart w:id="78" w:name="schemas"/>
      <w:r>
        <w:t xml:space="preserve">Schemas (Normative)</w:t>
      </w:r>
      <w:bookmarkEnd w:id="78"/>
    </w:p>
    <w:p>
      <w:pPr>
        <w:pStyle w:val="Heading1"/>
      </w:pPr>
      <w:bookmarkStart w:id="79" w:name="examples"/>
      <w:r>
        <w:t xml:space="preserve">Examples (Informative)</w:t>
      </w:r>
      <w:bookmarkEnd w:id="79"/>
    </w:p>
    <w:p>
      <w:pPr>
        <w:pStyle w:val="Heading2"/>
      </w:pPr>
      <w:bookmarkStart w:id="80" w:name="X7f2d3170ba1313fe186a133a9c36acebf07ba9f"/>
      <w:r>
        <w:t xml:space="preserve">Examples</w:t>
      </w:r>
      <w:bookmarkEnd w:id="80"/>
    </w:p>
    <w:p>
      <w:pPr>
        <w:pStyle w:val="Heading1"/>
      </w:pPr>
      <w:bookmarkStart w:id="81" w:name="Bibliography"/>
      <w:r>
        <w:t xml:space="preserve">Bibliography</w:t>
      </w:r>
      <w:bookmarkEnd w:id="81"/>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82">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83">
        <w:r>
          <w:rPr>
            <w:rStyle w:val="Hyperlink"/>
          </w:rPr>
          <w:t xml:space="preserve">https://spdx.org/licenses</w:t>
        </w:r>
      </w:hyperlink>
    </w:p>
    <w:p>
      <w:pPr>
        <w:pStyle w:val="Heading1"/>
      </w:pPr>
      <w:bookmarkStart w:id="84" w:name="X7704236ba72ed8cc2b9a9e238d27c640b9b6528"/>
      <w:r>
        <w:t xml:space="preserve">Revision History</w:t>
      </w:r>
      <w:bookmarkEnd w:id="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3"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83"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82"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3"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83"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82"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2024-10-15T18:10:35Z</dcterms:created>
  <dcterms:modified xsi:type="dcterms:W3CDTF">2024-10-15T18:10:35Z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2024-10-15</vt:lpwstr>
  </property>
</Properties>
</file>