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0" w:name="X522af82e8907ded996dcad82d6d928c1ff3a6b4"/>
    <w:p>
      <w:pPr>
        <w:pStyle w:val="Heading1"/>
      </w:pPr>
      <w:r>
        <w:t xml:space="preserve">Sublym - Arguments Marketing : Loi d’Attraction &amp; Image de Soi</w:t>
      </w:r>
    </w:p>
    <w:p>
      <w:pPr>
        <w:pStyle w:val="BlockText"/>
      </w:pPr>
      <w:r>
        <w:t xml:space="preserve">Source : conversation ChatGPT du 05/02/2026</w:t>
      </w:r>
      <w:r>
        <w:t xml:space="preserve"> </w:t>
      </w:r>
      <w:r>
        <w:t xml:space="preserve">Objectif : structurer les arguments pour les publicités Facebook et le marketing Sublym</w:t>
      </w:r>
    </w:p>
    <w:p>
      <w:r>
        <w:pict>
          <v:rect style="width:0;height:1.5pt" o:hralign="center" o:hrstd="t" o:hr="t"/>
        </w:pict>
      </w:r>
    </w:p>
    <w:bookmarkStart w:id="20" w:name="contexte"/>
    <w:p>
      <w:pPr>
        <w:pStyle w:val="Heading2"/>
      </w:pPr>
      <w:r>
        <w:t xml:space="preserve">Contexte</w:t>
      </w:r>
    </w:p>
    <w:p>
      <w:pPr>
        <w:pStyle w:val="FirstParagraph"/>
      </w:pPr>
      <w:r>
        <w:t xml:space="preserve">Mission : lancer Sublym en 48h. Préparer les publicités Facebook avec des vidéos générées par l’outil. Identifier les arguments en faveur de la loi d’attraction sous différents angles reconnus (scientifique, psychologique…), du subliminal et de l’impact de la confrontation à son image.</w:t>
      </w:r>
    </w:p>
    <w:p>
      <w:r>
        <w:pict>
          <v:rect style="width:0;height:1.5pt" o:hralign="center" o:hrstd="t" o:hr="t"/>
        </w:pict>
      </w:r>
    </w:p>
    <w:bookmarkEnd w:id="20"/>
    <w:bookmarkStart w:id="32" w:name="familles-darguments"/>
    <w:p>
      <w:pPr>
        <w:pStyle w:val="Heading2"/>
      </w:pPr>
      <w:r>
        <w:t xml:space="preserve">Familles d’arguments</w:t>
      </w:r>
    </w:p>
    <w:bookmarkStart w:id="21" w:name="sciences-du-cerveau-du-mental"/>
    <w:p>
      <w:pPr>
        <w:pStyle w:val="Heading3"/>
      </w:pPr>
      <w:r>
        <w:t xml:space="preserve">1. Sciences du cerveau &amp; du mental</w:t>
      </w:r>
    </w:p>
    <w:p>
      <w:pPr>
        <w:pStyle w:val="Compact"/>
        <w:numPr>
          <w:ilvl w:val="0"/>
          <w:numId w:val="1001"/>
        </w:numPr>
      </w:pPr>
      <w:r>
        <w:t xml:space="preserve">Scientifique</w:t>
      </w:r>
    </w:p>
    <w:p>
      <w:pPr>
        <w:pStyle w:val="Compact"/>
        <w:numPr>
          <w:ilvl w:val="0"/>
          <w:numId w:val="1001"/>
        </w:numPr>
      </w:pPr>
      <w:r>
        <w:t xml:space="preserve">Neurologique</w:t>
      </w:r>
    </w:p>
    <w:p>
      <w:pPr>
        <w:pStyle w:val="Compact"/>
        <w:numPr>
          <w:ilvl w:val="0"/>
          <w:numId w:val="1001"/>
        </w:numPr>
      </w:pPr>
      <w:r>
        <w:t xml:space="preserve">Neurosciences</w:t>
      </w:r>
    </w:p>
    <w:p>
      <w:pPr>
        <w:pStyle w:val="Compact"/>
        <w:numPr>
          <w:ilvl w:val="0"/>
          <w:numId w:val="1001"/>
        </w:numPr>
      </w:pPr>
      <w:r>
        <w:t xml:space="preserve">Neurosciences affectives</w:t>
      </w:r>
    </w:p>
    <w:p>
      <w:pPr>
        <w:pStyle w:val="Compact"/>
        <w:numPr>
          <w:ilvl w:val="0"/>
          <w:numId w:val="1001"/>
        </w:numPr>
      </w:pPr>
      <w:r>
        <w:t xml:space="preserve">Neuro-psychologique</w:t>
      </w:r>
    </w:p>
    <w:p>
      <w:pPr>
        <w:pStyle w:val="Compact"/>
        <w:numPr>
          <w:ilvl w:val="0"/>
          <w:numId w:val="1001"/>
        </w:numPr>
      </w:pPr>
      <w:r>
        <w:t xml:space="preserve">Plasticité cérébrale</w:t>
      </w:r>
    </w:p>
    <w:bookmarkEnd w:id="21"/>
    <w:bookmarkStart w:id="22" w:name="cognition-perception"/>
    <w:p>
      <w:pPr>
        <w:pStyle w:val="Heading3"/>
      </w:pPr>
      <w:r>
        <w:t xml:space="preserve">2. Cognition &amp; perception</w:t>
      </w:r>
    </w:p>
    <w:p>
      <w:pPr>
        <w:pStyle w:val="Compact"/>
        <w:numPr>
          <w:ilvl w:val="0"/>
          <w:numId w:val="1002"/>
        </w:numPr>
      </w:pPr>
      <w:r>
        <w:t xml:space="preserve">Cognitif</w:t>
      </w:r>
    </w:p>
    <w:p>
      <w:pPr>
        <w:pStyle w:val="Compact"/>
        <w:numPr>
          <w:ilvl w:val="0"/>
          <w:numId w:val="1002"/>
        </w:numPr>
      </w:pPr>
      <w:r>
        <w:t xml:space="preserve">Attentionnel</w:t>
      </w:r>
    </w:p>
    <w:p>
      <w:pPr>
        <w:pStyle w:val="Compact"/>
        <w:numPr>
          <w:ilvl w:val="0"/>
          <w:numId w:val="1002"/>
        </w:numPr>
      </w:pPr>
      <w:r>
        <w:t xml:space="preserve">Perceptif</w:t>
      </w:r>
    </w:p>
    <w:p>
      <w:pPr>
        <w:pStyle w:val="Compact"/>
        <w:numPr>
          <w:ilvl w:val="0"/>
          <w:numId w:val="1002"/>
        </w:numPr>
      </w:pPr>
      <w:r>
        <w:t xml:space="preserve">Imagerie mentale</w:t>
      </w:r>
    </w:p>
    <w:p>
      <w:pPr>
        <w:pStyle w:val="Compact"/>
        <w:numPr>
          <w:ilvl w:val="0"/>
          <w:numId w:val="1002"/>
        </w:numPr>
      </w:pPr>
      <w:r>
        <w:t xml:space="preserve">Simulation mentale</w:t>
      </w:r>
    </w:p>
    <w:p>
      <w:pPr>
        <w:pStyle w:val="Compact"/>
        <w:numPr>
          <w:ilvl w:val="0"/>
          <w:numId w:val="1002"/>
        </w:numPr>
      </w:pPr>
      <w:r>
        <w:t xml:space="preserve">Projection mentale</w:t>
      </w:r>
    </w:p>
    <w:bookmarkEnd w:id="22"/>
    <w:bookmarkStart w:id="23" w:name="psychologie"/>
    <w:p>
      <w:pPr>
        <w:pStyle w:val="Heading3"/>
      </w:pPr>
      <w:r>
        <w:t xml:space="preserve">3. Psychologie</w:t>
      </w:r>
    </w:p>
    <w:p>
      <w:pPr>
        <w:pStyle w:val="Compact"/>
        <w:numPr>
          <w:ilvl w:val="0"/>
          <w:numId w:val="1003"/>
        </w:numPr>
      </w:pPr>
      <w:r>
        <w:t xml:space="preserve">Psychologique</w:t>
      </w:r>
    </w:p>
    <w:p>
      <w:pPr>
        <w:pStyle w:val="Compact"/>
        <w:numPr>
          <w:ilvl w:val="0"/>
          <w:numId w:val="1003"/>
        </w:numPr>
      </w:pPr>
      <w:r>
        <w:t xml:space="preserve">Psychologie cognitive</w:t>
      </w:r>
    </w:p>
    <w:p>
      <w:pPr>
        <w:pStyle w:val="Compact"/>
        <w:numPr>
          <w:ilvl w:val="0"/>
          <w:numId w:val="1003"/>
        </w:numPr>
      </w:pPr>
      <w:r>
        <w:t xml:space="preserve">Psychologie sociale</w:t>
      </w:r>
    </w:p>
    <w:p>
      <w:pPr>
        <w:pStyle w:val="Compact"/>
        <w:numPr>
          <w:ilvl w:val="0"/>
          <w:numId w:val="1003"/>
        </w:numPr>
      </w:pPr>
      <w:r>
        <w:t xml:space="preserve">Psychologie positive</w:t>
      </w:r>
    </w:p>
    <w:p>
      <w:pPr>
        <w:pStyle w:val="Compact"/>
        <w:numPr>
          <w:ilvl w:val="0"/>
          <w:numId w:val="1003"/>
        </w:numPr>
      </w:pPr>
      <w:r>
        <w:t xml:space="preserve">Psychologie comportementale</w:t>
      </w:r>
    </w:p>
    <w:p>
      <w:pPr>
        <w:pStyle w:val="Compact"/>
        <w:numPr>
          <w:ilvl w:val="0"/>
          <w:numId w:val="1003"/>
        </w:numPr>
      </w:pPr>
      <w:r>
        <w:t xml:space="preserve">Psycho-sociologie</w:t>
      </w:r>
    </w:p>
    <w:bookmarkEnd w:id="23"/>
    <w:bookmarkStart w:id="24" w:name="comportement-décision"/>
    <w:p>
      <w:pPr>
        <w:pStyle w:val="Heading3"/>
      </w:pPr>
      <w:r>
        <w:t xml:space="preserve">4. Comportement &amp; décision</w:t>
      </w:r>
    </w:p>
    <w:p>
      <w:pPr>
        <w:pStyle w:val="Compact"/>
        <w:numPr>
          <w:ilvl w:val="0"/>
          <w:numId w:val="1004"/>
        </w:numPr>
      </w:pPr>
      <w:r>
        <w:t xml:space="preserve">Comportemental</w:t>
      </w:r>
    </w:p>
    <w:p>
      <w:pPr>
        <w:pStyle w:val="Compact"/>
        <w:numPr>
          <w:ilvl w:val="0"/>
          <w:numId w:val="1004"/>
        </w:numPr>
      </w:pPr>
      <w:r>
        <w:t xml:space="preserve">Motivationnel</w:t>
      </w:r>
    </w:p>
    <w:p>
      <w:pPr>
        <w:pStyle w:val="Compact"/>
        <w:numPr>
          <w:ilvl w:val="0"/>
          <w:numId w:val="1004"/>
        </w:numPr>
      </w:pPr>
      <w:r>
        <w:t xml:space="preserve">Décisionnel</w:t>
      </w:r>
    </w:p>
    <w:p>
      <w:pPr>
        <w:pStyle w:val="Compact"/>
        <w:numPr>
          <w:ilvl w:val="0"/>
          <w:numId w:val="1004"/>
        </w:numPr>
      </w:pPr>
      <w:r>
        <w:t xml:space="preserve">Apprentissage &amp; conditionnement</w:t>
      </w:r>
    </w:p>
    <w:p>
      <w:pPr>
        <w:pStyle w:val="Compact"/>
        <w:numPr>
          <w:ilvl w:val="0"/>
          <w:numId w:val="1004"/>
        </w:numPr>
      </w:pPr>
      <w:r>
        <w:t xml:space="preserve">Biais cognitifs</w:t>
      </w:r>
    </w:p>
    <w:bookmarkEnd w:id="24"/>
    <w:bookmarkStart w:id="25" w:name="emotions-régulation-interne"/>
    <w:p>
      <w:pPr>
        <w:pStyle w:val="Heading3"/>
      </w:pPr>
      <w:r>
        <w:t xml:space="preserve">5. Emotions &amp; régulation interne</w:t>
      </w:r>
    </w:p>
    <w:p>
      <w:pPr>
        <w:pStyle w:val="Compact"/>
        <w:numPr>
          <w:ilvl w:val="0"/>
          <w:numId w:val="1005"/>
        </w:numPr>
      </w:pPr>
      <w:r>
        <w:t xml:space="preserve">Emotionnel</w:t>
      </w:r>
    </w:p>
    <w:p>
      <w:pPr>
        <w:pStyle w:val="Compact"/>
        <w:numPr>
          <w:ilvl w:val="0"/>
          <w:numId w:val="1005"/>
        </w:numPr>
      </w:pPr>
      <w:r>
        <w:t xml:space="preserve">Régulation émotionnelle</w:t>
      </w:r>
    </w:p>
    <w:p>
      <w:pPr>
        <w:pStyle w:val="Compact"/>
        <w:numPr>
          <w:ilvl w:val="0"/>
          <w:numId w:val="1005"/>
        </w:numPr>
      </w:pPr>
      <w:r>
        <w:t xml:space="preserve">Ancrage émotionnel</w:t>
      </w:r>
    </w:p>
    <w:bookmarkEnd w:id="25"/>
    <w:bookmarkStart w:id="26" w:name="identité-image-de-soi"/>
    <w:p>
      <w:pPr>
        <w:pStyle w:val="Heading3"/>
      </w:pPr>
      <w:r>
        <w:t xml:space="preserve">6. Identité &amp; image de soi</w:t>
      </w:r>
    </w:p>
    <w:p>
      <w:pPr>
        <w:pStyle w:val="Compact"/>
        <w:numPr>
          <w:ilvl w:val="0"/>
          <w:numId w:val="1006"/>
        </w:numPr>
      </w:pPr>
      <w:r>
        <w:t xml:space="preserve">Identitaire</w:t>
      </w:r>
    </w:p>
    <w:p>
      <w:pPr>
        <w:pStyle w:val="Compact"/>
        <w:numPr>
          <w:ilvl w:val="0"/>
          <w:numId w:val="1006"/>
        </w:numPr>
      </w:pPr>
      <w:r>
        <w:t xml:space="preserve">Image de soi</w:t>
      </w:r>
    </w:p>
    <w:p>
      <w:pPr>
        <w:pStyle w:val="Compact"/>
        <w:numPr>
          <w:ilvl w:val="0"/>
          <w:numId w:val="1006"/>
        </w:numPr>
      </w:pPr>
      <w:r>
        <w:t xml:space="preserve">Construction identitaire</w:t>
      </w:r>
    </w:p>
    <w:p>
      <w:pPr>
        <w:pStyle w:val="Compact"/>
        <w:numPr>
          <w:ilvl w:val="0"/>
          <w:numId w:val="1006"/>
        </w:numPr>
      </w:pPr>
      <w:r>
        <w:t xml:space="preserve">Effet miroir</w:t>
      </w:r>
    </w:p>
    <w:p>
      <w:pPr>
        <w:pStyle w:val="Compact"/>
        <w:numPr>
          <w:ilvl w:val="0"/>
          <w:numId w:val="1006"/>
        </w:numPr>
      </w:pPr>
      <w:r>
        <w:t xml:space="preserve">Désactivation des croyances limitantes</w:t>
      </w:r>
    </w:p>
    <w:bookmarkEnd w:id="26"/>
    <w:bookmarkStart w:id="27" w:name="développement-personnel-accompagnement"/>
    <w:p>
      <w:pPr>
        <w:pStyle w:val="Heading3"/>
      </w:pPr>
      <w:r>
        <w:t xml:space="preserve">7. Développement personnel &amp; accompagnement</w:t>
      </w:r>
    </w:p>
    <w:p>
      <w:pPr>
        <w:pStyle w:val="Compact"/>
        <w:numPr>
          <w:ilvl w:val="0"/>
          <w:numId w:val="1007"/>
        </w:numPr>
      </w:pPr>
      <w:r>
        <w:t xml:space="preserve">Coaching</w:t>
      </w:r>
    </w:p>
    <w:p>
      <w:pPr>
        <w:pStyle w:val="Compact"/>
        <w:numPr>
          <w:ilvl w:val="0"/>
          <w:numId w:val="1007"/>
        </w:numPr>
      </w:pPr>
      <w:r>
        <w:t xml:space="preserve">Développement personnel</w:t>
      </w:r>
    </w:p>
    <w:p>
      <w:pPr>
        <w:pStyle w:val="Compact"/>
        <w:numPr>
          <w:ilvl w:val="0"/>
          <w:numId w:val="1007"/>
        </w:numPr>
      </w:pPr>
      <w:r>
        <w:t xml:space="preserve">Thérapies orientées solutions</w:t>
      </w:r>
    </w:p>
    <w:p>
      <w:pPr>
        <w:pStyle w:val="Compact"/>
        <w:numPr>
          <w:ilvl w:val="0"/>
          <w:numId w:val="1007"/>
        </w:numPr>
      </w:pPr>
      <w:r>
        <w:t xml:space="preserve">Visualisation guidée</w:t>
      </w:r>
    </w:p>
    <w:bookmarkEnd w:id="27"/>
    <w:bookmarkStart w:id="28" w:name="subconscient-pré-conscient"/>
    <w:p>
      <w:pPr>
        <w:pStyle w:val="Heading3"/>
      </w:pPr>
      <w:r>
        <w:t xml:space="preserve">8. Subconscient &amp; pré-conscient</w:t>
      </w:r>
    </w:p>
    <w:p>
      <w:pPr>
        <w:pStyle w:val="Compact"/>
        <w:numPr>
          <w:ilvl w:val="0"/>
          <w:numId w:val="1008"/>
        </w:numPr>
      </w:pPr>
      <w:r>
        <w:t xml:space="preserve">Subliminal / pré-conscient</w:t>
      </w:r>
    </w:p>
    <w:p>
      <w:pPr>
        <w:pStyle w:val="Compact"/>
        <w:numPr>
          <w:ilvl w:val="0"/>
          <w:numId w:val="1008"/>
        </w:numPr>
      </w:pPr>
      <w:r>
        <w:t xml:space="preserve">Amorçage (priming)</w:t>
      </w:r>
    </w:p>
    <w:p>
      <w:pPr>
        <w:pStyle w:val="Compact"/>
        <w:numPr>
          <w:ilvl w:val="0"/>
          <w:numId w:val="1008"/>
        </w:numPr>
      </w:pPr>
      <w:r>
        <w:t xml:space="preserve">Habituation</w:t>
      </w:r>
    </w:p>
    <w:p>
      <w:pPr>
        <w:pStyle w:val="Compact"/>
        <w:numPr>
          <w:ilvl w:val="0"/>
          <w:numId w:val="1008"/>
        </w:numPr>
      </w:pPr>
      <w:r>
        <w:t xml:space="preserve">Imprégnation</w:t>
      </w:r>
    </w:p>
    <w:bookmarkEnd w:id="28"/>
    <w:bookmarkStart w:id="29" w:name="expérience-sens-représentation"/>
    <w:p>
      <w:pPr>
        <w:pStyle w:val="Heading3"/>
      </w:pPr>
      <w:r>
        <w:t xml:space="preserve">9. Expérience, sens &amp; représentation</w:t>
      </w:r>
    </w:p>
    <w:p>
      <w:pPr>
        <w:pStyle w:val="Compact"/>
        <w:numPr>
          <w:ilvl w:val="0"/>
          <w:numId w:val="1009"/>
        </w:numPr>
      </w:pPr>
      <w:r>
        <w:t xml:space="preserve">Esthétique</w:t>
      </w:r>
    </w:p>
    <w:p>
      <w:pPr>
        <w:pStyle w:val="Compact"/>
        <w:numPr>
          <w:ilvl w:val="0"/>
          <w:numId w:val="1009"/>
        </w:numPr>
      </w:pPr>
      <w:r>
        <w:t xml:space="preserve">Représentation de soi</w:t>
      </w:r>
    </w:p>
    <w:p>
      <w:pPr>
        <w:pStyle w:val="Compact"/>
        <w:numPr>
          <w:ilvl w:val="0"/>
          <w:numId w:val="1009"/>
        </w:numPr>
      </w:pPr>
      <w:r>
        <w:t xml:space="preserve">Branding émotionnel</w:t>
      </w:r>
    </w:p>
    <w:p>
      <w:pPr>
        <w:pStyle w:val="Compact"/>
        <w:numPr>
          <w:ilvl w:val="0"/>
          <w:numId w:val="1009"/>
        </w:numPr>
      </w:pPr>
      <w:r>
        <w:t xml:space="preserve">Marketing sensoriel</w:t>
      </w:r>
    </w:p>
    <w:p>
      <w:pPr>
        <w:pStyle w:val="Compact"/>
        <w:numPr>
          <w:ilvl w:val="0"/>
          <w:numId w:val="1009"/>
        </w:numPr>
      </w:pPr>
      <w:r>
        <w:t xml:space="preserve">UX / design émotionnel</w:t>
      </w:r>
    </w:p>
    <w:p>
      <w:pPr>
        <w:pStyle w:val="Compact"/>
        <w:numPr>
          <w:ilvl w:val="0"/>
          <w:numId w:val="1009"/>
        </w:numPr>
      </w:pPr>
      <w:r>
        <w:t xml:space="preserve">Storytelling / narration</w:t>
      </w:r>
    </w:p>
    <w:bookmarkEnd w:id="29"/>
    <w:bookmarkStart w:id="30" w:name="etats-internes-présence"/>
    <w:p>
      <w:pPr>
        <w:pStyle w:val="Heading3"/>
      </w:pPr>
      <w:r>
        <w:t xml:space="preserve">10. Etats internes &amp; présence</w:t>
      </w:r>
    </w:p>
    <w:p>
      <w:pPr>
        <w:pStyle w:val="Compact"/>
        <w:numPr>
          <w:ilvl w:val="0"/>
          <w:numId w:val="1010"/>
        </w:numPr>
      </w:pPr>
      <w:r>
        <w:t xml:space="preserve">Méditation active</w:t>
      </w:r>
    </w:p>
    <w:p>
      <w:pPr>
        <w:pStyle w:val="Compact"/>
        <w:numPr>
          <w:ilvl w:val="0"/>
          <w:numId w:val="1010"/>
        </w:numPr>
      </w:pPr>
      <w:r>
        <w:t xml:space="preserve">Pleine conscience orientée objectif</w:t>
      </w:r>
    </w:p>
    <w:p>
      <w:pPr>
        <w:pStyle w:val="Compact"/>
        <w:numPr>
          <w:ilvl w:val="0"/>
          <w:numId w:val="1010"/>
        </w:numPr>
      </w:pPr>
      <w:r>
        <w:t xml:space="preserve">Hypnose ericksonienne (soft)</w:t>
      </w:r>
    </w:p>
    <w:p>
      <w:pPr>
        <w:pStyle w:val="Compact"/>
        <w:numPr>
          <w:ilvl w:val="0"/>
          <w:numId w:val="1010"/>
        </w:numPr>
      </w:pPr>
      <w:r>
        <w:t xml:space="preserve">PNL</w:t>
      </w:r>
    </w:p>
    <w:bookmarkEnd w:id="30"/>
    <w:bookmarkStart w:id="31" w:name="sciences-humaines-sens"/>
    <w:p>
      <w:pPr>
        <w:pStyle w:val="Heading3"/>
      </w:pPr>
      <w:r>
        <w:t xml:space="preserve">11. Sciences humaines &amp; sens</w:t>
      </w:r>
    </w:p>
    <w:p>
      <w:pPr>
        <w:pStyle w:val="Compact"/>
        <w:numPr>
          <w:ilvl w:val="0"/>
          <w:numId w:val="1011"/>
        </w:numPr>
      </w:pPr>
      <w:r>
        <w:t xml:space="preserve">Anthropologie</w:t>
      </w:r>
    </w:p>
    <w:p>
      <w:pPr>
        <w:pStyle w:val="Compact"/>
        <w:numPr>
          <w:ilvl w:val="0"/>
          <w:numId w:val="1011"/>
        </w:numPr>
      </w:pPr>
      <w:r>
        <w:t xml:space="preserve">Symbolique</w:t>
      </w:r>
    </w:p>
    <w:p>
      <w:pPr>
        <w:pStyle w:val="Compact"/>
        <w:numPr>
          <w:ilvl w:val="0"/>
          <w:numId w:val="1011"/>
        </w:numPr>
      </w:pPr>
      <w:r>
        <w:t xml:space="preserve">Philosophie pratique</w:t>
      </w:r>
    </w:p>
    <w:p>
      <w:pPr>
        <w:pStyle w:val="Compact"/>
        <w:numPr>
          <w:ilvl w:val="0"/>
          <w:numId w:val="1011"/>
        </w:numPr>
      </w:pPr>
      <w:r>
        <w:t xml:space="preserve">Phénoménologie (expérience vécue)</w:t>
      </w:r>
    </w:p>
    <w:p>
      <w:r>
        <w:pict>
          <v:rect style="width:0;height:1.5pt" o:hralign="center" o:hrstd="t" o:hr="t"/>
        </w:pict>
      </w:r>
    </w:p>
    <w:bookmarkEnd w:id="31"/>
    <w:bookmarkEnd w:id="32"/>
    <w:bookmarkStart w:id="33" w:name="positionnement-stratégique"/>
    <w:p>
      <w:pPr>
        <w:pStyle w:val="Heading2"/>
      </w:pPr>
      <w:r>
        <w:t xml:space="preserve">Positionnement stratégique</w:t>
      </w:r>
    </w:p>
    <w:p>
      <w:pPr>
        <w:pStyle w:val="FirstParagraph"/>
      </w:pPr>
      <w:r>
        <w:rPr>
          <w:b/>
          <w:bCs/>
        </w:rPr>
        <w:t xml:space="preserve">Sublym se situe à l’intersection : cerveau x image de soi x émotion x expérience immersive</w:t>
      </w:r>
    </w:p>
    <w:p>
      <w:r>
        <w:pict>
          <v:rect style="width:0;height:1.5pt" o:hralign="center" o:hrstd="t" o:hr="t"/>
        </w:pict>
      </w:r>
    </w:p>
    <w:bookmarkEnd w:id="33"/>
    <w:bookmarkStart w:id="47" w:name="arguments-détaillés-par-angle"/>
    <w:p>
      <w:pPr>
        <w:pStyle w:val="Heading2"/>
      </w:pPr>
      <w:r>
        <w:t xml:space="preserve">Arguments détaillés par angle</w:t>
      </w:r>
    </w:p>
    <w:bookmarkStart w:id="34" w:name="attention-perception-sélective"/>
    <w:p>
      <w:pPr>
        <w:pStyle w:val="Heading3"/>
      </w:pPr>
      <w:r>
        <w:t xml:space="preserve">Attention &amp; perception sélective</w:t>
      </w:r>
    </w:p>
    <w:p>
      <w:pPr>
        <w:pStyle w:val="Compact"/>
        <w:numPr>
          <w:ilvl w:val="0"/>
          <w:numId w:val="1012"/>
        </w:numPr>
      </w:pPr>
      <w:r>
        <w:t xml:space="preserve">Le cerveau filtre la réalité selon ce sur quoi on porte son attention</w:t>
      </w:r>
    </w:p>
    <w:p>
      <w:pPr>
        <w:pStyle w:val="Compact"/>
        <w:numPr>
          <w:ilvl w:val="0"/>
          <w:numId w:val="1012"/>
        </w:numPr>
      </w:pPr>
      <w:r>
        <w:t xml:space="preserve">Quand un objectif est clarifié et incarné : on repère plus facilement les opportunités</w:t>
      </w:r>
    </w:p>
    <w:p>
      <w:pPr>
        <w:pStyle w:val="Compact"/>
        <w:numPr>
          <w:ilvl w:val="0"/>
          <w:numId w:val="1012"/>
        </w:numPr>
      </w:pPr>
      <w:r>
        <w:t xml:space="preserve">Référence : biais attentionnels, système réticulé activateur</w:t>
      </w:r>
    </w:p>
    <w:p>
      <w:pPr>
        <w:pStyle w:val="Compact"/>
        <w:numPr>
          <w:ilvl w:val="0"/>
          <w:numId w:val="1012"/>
        </w:numPr>
      </w:pPr>
      <w:r>
        <w:rPr>
          <w:b/>
          <w:bCs/>
        </w:rPr>
        <w:t xml:space="preserve">Message clé</w:t>
      </w:r>
      <w:r>
        <w:t xml:space="preserve"> </w:t>
      </w:r>
      <w:r>
        <w:t xml:space="preserve">:</w:t>
      </w:r>
      <w:r>
        <w:t xml:space="preserve"> </w:t>
      </w:r>
      <w:r>
        <w:t xml:space="preserve">“Ce que tu incarnes, ton cerveau l’aide à émerger dans la réalité.”</w:t>
      </w:r>
    </w:p>
    <w:bookmarkEnd w:id="34"/>
    <w:bookmarkStart w:id="35" w:name="projection-mentale-préparation-à-laction"/>
    <w:p>
      <w:pPr>
        <w:pStyle w:val="Heading3"/>
      </w:pPr>
      <w:r>
        <w:t xml:space="preserve">Projection mentale &amp; préparation à l’action</w:t>
      </w:r>
    </w:p>
    <w:p>
      <w:pPr>
        <w:pStyle w:val="Compact"/>
        <w:numPr>
          <w:ilvl w:val="0"/>
          <w:numId w:val="1013"/>
        </w:numPr>
      </w:pPr>
      <w:r>
        <w:t xml:space="preserve">Se projeter dans une situation future prépare les circuits décisionnels et réduit l’auto-sabotage</w:t>
      </w:r>
    </w:p>
    <w:p>
      <w:pPr>
        <w:pStyle w:val="Compact"/>
        <w:numPr>
          <w:ilvl w:val="0"/>
          <w:numId w:val="1013"/>
        </w:numPr>
      </w:pPr>
      <w:r>
        <w:t xml:space="preserve">Le cerveau ne distingue pas totalement imagination vécue et expérience réelle</w:t>
      </w:r>
    </w:p>
    <w:p>
      <w:pPr>
        <w:pStyle w:val="Compact"/>
        <w:numPr>
          <w:ilvl w:val="0"/>
          <w:numId w:val="1013"/>
        </w:numPr>
      </w:pPr>
      <w:r>
        <w:rPr>
          <w:b/>
          <w:bCs/>
        </w:rPr>
        <w:t xml:space="preserve">Message clé</w:t>
      </w:r>
      <w:r>
        <w:t xml:space="preserve"> </w:t>
      </w:r>
      <w:r>
        <w:t xml:space="preserve">:</w:t>
      </w:r>
      <w:r>
        <w:t xml:space="preserve"> </w:t>
      </w:r>
      <w:r>
        <w:t xml:space="preserve">“Visualiser, c’est déjà entraîner ton cerveau à agir différemment.”</w:t>
      </w:r>
    </w:p>
    <w:bookmarkEnd w:id="35"/>
    <w:bookmarkStart w:id="36" w:name="cohérence-interne-alignement"/>
    <w:p>
      <w:pPr>
        <w:pStyle w:val="Heading3"/>
      </w:pPr>
      <w:r>
        <w:t xml:space="preserve">Cohérence interne &amp; alignement</w:t>
      </w:r>
    </w:p>
    <w:p>
      <w:pPr>
        <w:pStyle w:val="Compact"/>
        <w:numPr>
          <w:ilvl w:val="0"/>
          <w:numId w:val="1014"/>
        </w:numPr>
      </w:pPr>
      <w:r>
        <w:t xml:space="preserve">Quand une image de soi est claire, les comportements tendent à s’aligner automatiquement</w:t>
      </w:r>
    </w:p>
    <w:p>
      <w:pPr>
        <w:pStyle w:val="Compact"/>
        <w:numPr>
          <w:ilvl w:val="0"/>
          <w:numId w:val="1014"/>
        </w:numPr>
      </w:pPr>
      <w:r>
        <w:t xml:space="preserve">Incohérence interne = friction, fatigue, procrastination</w:t>
      </w:r>
    </w:p>
    <w:p>
      <w:pPr>
        <w:pStyle w:val="Compact"/>
        <w:numPr>
          <w:ilvl w:val="0"/>
          <w:numId w:val="1014"/>
        </w:numPr>
      </w:pPr>
      <w:r>
        <w:rPr>
          <w:b/>
          <w:bCs/>
        </w:rPr>
        <w:t xml:space="preserve">Message clé</w:t>
      </w:r>
      <w:r>
        <w:t xml:space="preserve"> </w:t>
      </w:r>
      <w:r>
        <w:t xml:space="preserve">:</w:t>
      </w:r>
      <w:r>
        <w:t xml:space="preserve"> </w:t>
      </w:r>
      <w:r>
        <w:t xml:space="preserve">“Quand l’image intérieure est claire, les choix deviennent plus simples.”</w:t>
      </w:r>
    </w:p>
    <w:bookmarkEnd w:id="36"/>
    <w:bookmarkStart w:id="37" w:name="identité-future-future-self-theory"/>
    <w:p>
      <w:pPr>
        <w:pStyle w:val="Heading3"/>
      </w:pPr>
      <w:r>
        <w:t xml:space="preserve">Identité future (Future Self Theory)</w:t>
      </w:r>
    </w:p>
    <w:p>
      <w:pPr>
        <w:pStyle w:val="Compact"/>
        <w:numPr>
          <w:ilvl w:val="0"/>
          <w:numId w:val="1015"/>
        </w:numPr>
      </w:pPr>
      <w:r>
        <w:t xml:space="preserve">Se connecter à une version future de soi augmente la motivation et diminue les comportements auto-limitants</w:t>
      </w:r>
    </w:p>
    <w:p>
      <w:pPr>
        <w:pStyle w:val="Compact"/>
        <w:numPr>
          <w:ilvl w:val="0"/>
          <w:numId w:val="1015"/>
        </w:numPr>
      </w:pPr>
      <w:r>
        <w:t xml:space="preserve">Très utilisé en coaching, psychologie positive, thérapies orientées solutions</w:t>
      </w:r>
    </w:p>
    <w:p>
      <w:pPr>
        <w:pStyle w:val="Compact"/>
        <w:numPr>
          <w:ilvl w:val="0"/>
          <w:numId w:val="1015"/>
        </w:numPr>
      </w:pPr>
      <w:r>
        <w:rPr>
          <w:b/>
          <w:bCs/>
        </w:rPr>
        <w:t xml:space="preserve">Message clé</w:t>
      </w:r>
      <w:r>
        <w:t xml:space="preserve"> </w:t>
      </w:r>
      <w:r>
        <w:t xml:space="preserve">:</w:t>
      </w:r>
      <w:r>
        <w:t xml:space="preserve"> </w:t>
      </w:r>
      <w:r>
        <w:t xml:space="preserve">“Tu n’attends plus de devenir cette personne. Tu commences à la reconnaître.”</w:t>
      </w:r>
    </w:p>
    <w:bookmarkEnd w:id="37"/>
    <w:bookmarkStart w:id="38" w:name="désir-incarné-vs-désir-abstrait"/>
    <w:p>
      <w:pPr>
        <w:pStyle w:val="Heading3"/>
      </w:pPr>
      <w:r>
        <w:t xml:space="preserve">Désir incarné vs désir abstrait</w:t>
      </w:r>
    </w:p>
    <w:p>
      <w:pPr>
        <w:pStyle w:val="Compact"/>
        <w:numPr>
          <w:ilvl w:val="0"/>
          <w:numId w:val="1016"/>
        </w:numPr>
      </w:pPr>
      <w:r>
        <w:t xml:space="preserve">Un désir flou est peu mobilisateur</w:t>
      </w:r>
    </w:p>
    <w:p>
      <w:pPr>
        <w:pStyle w:val="Compact"/>
        <w:numPr>
          <w:ilvl w:val="0"/>
          <w:numId w:val="1016"/>
        </w:numPr>
      </w:pPr>
      <w:r>
        <w:t xml:space="preserve">Un désir mis en scène, ressenti, incarné génère une charge émotionnelle et augmente l’engagement inconscient</w:t>
      </w:r>
    </w:p>
    <w:p>
      <w:pPr>
        <w:pStyle w:val="Compact"/>
        <w:numPr>
          <w:ilvl w:val="0"/>
          <w:numId w:val="1016"/>
        </w:numPr>
      </w:pPr>
      <w:r>
        <w:rPr>
          <w:b/>
          <w:bCs/>
        </w:rPr>
        <w:t xml:space="preserve">Message clé</w:t>
      </w:r>
      <w:r>
        <w:t xml:space="preserve"> </w:t>
      </w:r>
      <w:r>
        <w:t xml:space="preserve">:</w:t>
      </w:r>
      <w:r>
        <w:t xml:space="preserve"> </w:t>
      </w:r>
      <w:r>
        <w:t xml:space="preserve">“Ce que tu ressens te met en mouvement bien plus que ce que tu penses.”</w:t>
      </w:r>
    </w:p>
    <w:bookmarkEnd w:id="38"/>
    <w:bookmarkStart w:id="39" w:name="régulation-émotionnelle"/>
    <w:p>
      <w:pPr>
        <w:pStyle w:val="Heading3"/>
      </w:pPr>
      <w:r>
        <w:t xml:space="preserve">Régulation émotionnelle</w:t>
      </w:r>
    </w:p>
    <w:p>
      <w:pPr>
        <w:pStyle w:val="Compact"/>
        <w:numPr>
          <w:ilvl w:val="0"/>
          <w:numId w:val="1017"/>
        </w:numPr>
      </w:pPr>
      <w:r>
        <w:t xml:space="preserve">Se voir dans une situation désirée apaise l’anxiété liée à l’avenir</w:t>
      </w:r>
    </w:p>
    <w:p>
      <w:pPr>
        <w:pStyle w:val="Compact"/>
        <w:numPr>
          <w:ilvl w:val="0"/>
          <w:numId w:val="1017"/>
        </w:numPr>
      </w:pPr>
      <w:r>
        <w:t xml:space="preserve">Le cerveau agit mieux quand il se sent</w:t>
      </w:r>
      <w:r>
        <w:t xml:space="preserve"> </w:t>
      </w:r>
      <w:r>
        <w:t xml:space="preserve">“déjà en terrain connu”</w:t>
      </w:r>
    </w:p>
    <w:p>
      <w:pPr>
        <w:pStyle w:val="Compact"/>
        <w:numPr>
          <w:ilvl w:val="0"/>
          <w:numId w:val="1017"/>
        </w:numPr>
      </w:pPr>
      <w:r>
        <w:rPr>
          <w:b/>
          <w:bCs/>
        </w:rPr>
        <w:t xml:space="preserve">Message clé</w:t>
      </w:r>
      <w:r>
        <w:t xml:space="preserve"> </w:t>
      </w:r>
      <w:r>
        <w:t xml:space="preserve">:</w:t>
      </w:r>
      <w:r>
        <w:t xml:space="preserve"> </w:t>
      </w:r>
      <w:r>
        <w:t xml:space="preserve">“La projection apaise. L’apaisement ouvre le champ des possibles.”</w:t>
      </w:r>
    </w:p>
    <w:bookmarkEnd w:id="39"/>
    <w:bookmarkStart w:id="40" w:name="amorçage-cognitif-priming"/>
    <w:p>
      <w:pPr>
        <w:pStyle w:val="Heading3"/>
      </w:pPr>
      <w:r>
        <w:t xml:space="preserve">Amorçage cognitif (Priming)</w:t>
      </w:r>
    </w:p>
    <w:p>
      <w:pPr>
        <w:pStyle w:val="Compact"/>
        <w:numPr>
          <w:ilvl w:val="0"/>
          <w:numId w:val="1018"/>
        </w:numPr>
      </w:pPr>
      <w:r>
        <w:t xml:space="preserve">Une exposition répétée à des images/mots/ambiances influence les choix ultérieurs sans passage conscient obligatoire</w:t>
      </w:r>
    </w:p>
    <w:p>
      <w:pPr>
        <w:pStyle w:val="Compact"/>
        <w:numPr>
          <w:ilvl w:val="0"/>
          <w:numId w:val="1018"/>
        </w:numPr>
      </w:pPr>
      <w:r>
        <w:t xml:space="preserve">Utilisé partout : publicité, branding, design UX</w:t>
      </w:r>
    </w:p>
    <w:p>
      <w:pPr>
        <w:pStyle w:val="Compact"/>
        <w:numPr>
          <w:ilvl w:val="0"/>
          <w:numId w:val="1018"/>
        </w:numPr>
      </w:pPr>
      <w:r>
        <w:rPr>
          <w:b/>
          <w:bCs/>
        </w:rPr>
        <w:t xml:space="preserve">Message clé</w:t>
      </w:r>
      <w:r>
        <w:t xml:space="preserve"> </w:t>
      </w:r>
      <w:r>
        <w:t xml:space="preserve">:</w:t>
      </w:r>
      <w:r>
        <w:t xml:space="preserve"> </w:t>
      </w:r>
      <w:r>
        <w:t xml:space="preserve">“Ce que tu vois régulièrement façonne ce que tu considères possible.”</w:t>
      </w:r>
    </w:p>
    <w:bookmarkEnd w:id="40"/>
    <w:bookmarkStart w:id="41" w:name="répétition-douce-imprégnation"/>
    <w:p>
      <w:pPr>
        <w:pStyle w:val="Heading3"/>
      </w:pPr>
      <w:r>
        <w:t xml:space="preserve">Répétition douce &amp; imprégnation</w:t>
      </w:r>
    </w:p>
    <w:p>
      <w:pPr>
        <w:pStyle w:val="Compact"/>
        <w:numPr>
          <w:ilvl w:val="0"/>
          <w:numId w:val="1019"/>
        </w:numPr>
      </w:pPr>
      <w:r>
        <w:t xml:space="preserve">Le cerveau apprend par exposition répétée</w:t>
      </w:r>
    </w:p>
    <w:p>
      <w:pPr>
        <w:pStyle w:val="Compact"/>
        <w:numPr>
          <w:ilvl w:val="0"/>
          <w:numId w:val="1019"/>
        </w:numPr>
      </w:pPr>
      <w:r>
        <w:t xml:space="preserve">Les micro-stimulations sont souvent plus efficaces que les injonctions</w:t>
      </w:r>
    </w:p>
    <w:p>
      <w:pPr>
        <w:pStyle w:val="Compact"/>
        <w:numPr>
          <w:ilvl w:val="0"/>
          <w:numId w:val="1019"/>
        </w:numPr>
      </w:pPr>
      <w:r>
        <w:rPr>
          <w:b/>
          <w:bCs/>
        </w:rPr>
        <w:t xml:space="preserve">Message clé</w:t>
      </w:r>
      <w:r>
        <w:t xml:space="preserve"> </w:t>
      </w:r>
      <w:r>
        <w:t xml:space="preserve">:</w:t>
      </w:r>
      <w:r>
        <w:t xml:space="preserve"> </w:t>
      </w:r>
      <w:r>
        <w:t xml:space="preserve">“Pas de forçage. Juste une imprégnation progressive.”</w:t>
      </w:r>
    </w:p>
    <w:bookmarkEnd w:id="41"/>
    <w:bookmarkStart w:id="42" w:name="effet-miroir-reconnaissance-de-soi"/>
    <w:p>
      <w:pPr>
        <w:pStyle w:val="Heading3"/>
      </w:pPr>
      <w:r>
        <w:t xml:space="preserve">Effet miroir &amp; reconnaissance de soi</w:t>
      </w:r>
    </w:p>
    <w:p>
      <w:pPr>
        <w:pStyle w:val="Compact"/>
        <w:numPr>
          <w:ilvl w:val="0"/>
          <w:numId w:val="1020"/>
        </w:numPr>
      </w:pPr>
      <w:r>
        <w:t xml:space="preserve">Se voir dans une situation désirée active l’identification et réduit la distance psychologique</w:t>
      </w:r>
    </w:p>
    <w:p>
      <w:pPr>
        <w:pStyle w:val="Compact"/>
        <w:numPr>
          <w:ilvl w:val="0"/>
          <w:numId w:val="1020"/>
        </w:numPr>
      </w:pPr>
      <w:r>
        <w:t xml:space="preserve">Mécanisme fondamental de construction identitaire</w:t>
      </w:r>
    </w:p>
    <w:p>
      <w:pPr>
        <w:pStyle w:val="Compact"/>
        <w:numPr>
          <w:ilvl w:val="0"/>
          <w:numId w:val="1020"/>
        </w:numPr>
      </w:pPr>
      <w:r>
        <w:rPr>
          <w:b/>
          <w:bCs/>
        </w:rPr>
        <w:t xml:space="preserve">Message clé</w:t>
      </w:r>
      <w:r>
        <w:t xml:space="preserve"> </w:t>
      </w:r>
      <w:r>
        <w:t xml:space="preserve">:</w:t>
      </w:r>
      <w:r>
        <w:t xml:space="preserve"> </w:t>
      </w:r>
      <w:r>
        <w:t xml:space="preserve">“Ce n’est plus un rêve abstrait. C’est toi, dedans.”</w:t>
      </w:r>
    </w:p>
    <w:bookmarkEnd w:id="42"/>
    <w:bookmarkStart w:id="43" w:name="désactivation-des-croyances-limitantes"/>
    <w:p>
      <w:pPr>
        <w:pStyle w:val="Heading3"/>
      </w:pPr>
      <w:r>
        <w:t xml:space="preserve">Désactivation des croyances limitantes</w:t>
      </w:r>
    </w:p>
    <w:p>
      <w:pPr>
        <w:pStyle w:val="Compact"/>
        <w:numPr>
          <w:ilvl w:val="0"/>
          <w:numId w:val="1021"/>
        </w:numPr>
      </w:pPr>
      <w:r>
        <w:t xml:space="preserve">Beaucoup de blocages viennent de</w:t>
      </w:r>
      <w:r>
        <w:t xml:space="preserve"> </w:t>
      </w:r>
      <w:r>
        <w:t xml:space="preserve">“je ne me vois pas comme ça”</w:t>
      </w:r>
    </w:p>
    <w:p>
      <w:pPr>
        <w:pStyle w:val="Compact"/>
        <w:numPr>
          <w:ilvl w:val="0"/>
          <w:numId w:val="1021"/>
        </w:numPr>
      </w:pPr>
      <w:r>
        <w:t xml:space="preserve">Voir son propre visage dans la scène court-circuite le discours mental, agit au niveau pré-verbal</w:t>
      </w:r>
    </w:p>
    <w:p>
      <w:pPr>
        <w:pStyle w:val="Compact"/>
        <w:numPr>
          <w:ilvl w:val="0"/>
          <w:numId w:val="1021"/>
        </w:numPr>
      </w:pPr>
      <w:r>
        <w:rPr>
          <w:b/>
          <w:bCs/>
        </w:rPr>
        <w:t xml:space="preserve">Message clé</w:t>
      </w:r>
      <w:r>
        <w:t xml:space="preserve"> </w:t>
      </w:r>
      <w:r>
        <w:t xml:space="preserve">:</w:t>
      </w:r>
      <w:r>
        <w:t xml:space="preserve"> </w:t>
      </w:r>
      <w:r>
        <w:t xml:space="preserve">“Ton cerveau arrête de débattre quand il voit.”</w:t>
      </w:r>
    </w:p>
    <w:bookmarkEnd w:id="43"/>
    <w:bookmarkStart w:id="44" w:name="effet-dappropriation"/>
    <w:p>
      <w:pPr>
        <w:pStyle w:val="Heading3"/>
      </w:pPr>
      <w:r>
        <w:t xml:space="preserve">Effet d’appropriation</w:t>
      </w:r>
    </w:p>
    <w:p>
      <w:pPr>
        <w:pStyle w:val="Compact"/>
        <w:numPr>
          <w:ilvl w:val="0"/>
          <w:numId w:val="1022"/>
        </w:numPr>
      </w:pPr>
      <w:r>
        <w:t xml:space="preserve">Une image personnalisée crée un lien émotionnel fort et un sentiment de légitimité</w:t>
      </w:r>
    </w:p>
    <w:p>
      <w:pPr>
        <w:pStyle w:val="Compact"/>
        <w:numPr>
          <w:ilvl w:val="0"/>
          <w:numId w:val="1022"/>
        </w:numPr>
      </w:pPr>
      <w:r>
        <w:rPr>
          <w:b/>
          <w:bCs/>
        </w:rPr>
        <w:t xml:space="preserve">Message clé</w:t>
      </w:r>
      <w:r>
        <w:t xml:space="preserve"> </w:t>
      </w:r>
      <w:r>
        <w:t xml:space="preserve">:</w:t>
      </w:r>
      <w:r>
        <w:t xml:space="preserve"> </w:t>
      </w:r>
      <w:r>
        <w:t xml:space="preserve">“Ce n’est pas une image inspirante. C’est la tienne.”</w:t>
      </w:r>
    </w:p>
    <w:bookmarkEnd w:id="44"/>
    <w:bookmarkStart w:id="45" w:name="expérience-plutôt-que-croyance"/>
    <w:p>
      <w:pPr>
        <w:pStyle w:val="Heading3"/>
      </w:pPr>
      <w:r>
        <w:t xml:space="preserve">Expérience plutôt que croyance</w:t>
      </w:r>
    </w:p>
    <w:p>
      <w:pPr>
        <w:pStyle w:val="Compact"/>
        <w:numPr>
          <w:ilvl w:val="0"/>
          <w:numId w:val="1023"/>
        </w:numPr>
      </w:pPr>
      <w:r>
        <w:t xml:space="preserve">Sublym ne demande pas d’y croire, il propose une expérience immersive</w:t>
      </w:r>
    </w:p>
    <w:p>
      <w:pPr>
        <w:pStyle w:val="Compact"/>
        <w:numPr>
          <w:ilvl w:val="0"/>
          <w:numId w:val="1023"/>
        </w:numPr>
      </w:pPr>
      <w:r>
        <w:rPr>
          <w:b/>
          <w:bCs/>
        </w:rPr>
        <w:t xml:space="preserve">Message clé</w:t>
      </w:r>
      <w:r>
        <w:t xml:space="preserve"> </w:t>
      </w:r>
      <w:r>
        <w:t xml:space="preserve">:</w:t>
      </w:r>
      <w:r>
        <w:t xml:space="preserve"> </w:t>
      </w:r>
      <w:r>
        <w:t xml:space="preserve">“Tu n’as rien à croire. Juste à vivre l’expérience.”</w:t>
      </w:r>
    </w:p>
    <w:bookmarkEnd w:id="45"/>
    <w:bookmarkStart w:id="46" w:name="outil-de-clarification-intérieure"/>
    <w:p>
      <w:pPr>
        <w:pStyle w:val="Heading3"/>
      </w:pPr>
      <w:r>
        <w:t xml:space="preserve">Outil de clarification intérieure</w:t>
      </w:r>
    </w:p>
    <w:p>
      <w:pPr>
        <w:pStyle w:val="Compact"/>
        <w:numPr>
          <w:ilvl w:val="0"/>
          <w:numId w:val="1024"/>
        </w:numPr>
      </w:pPr>
      <w:r>
        <w:t xml:space="preserve">Même sans</w:t>
      </w:r>
      <w:r>
        <w:t xml:space="preserve"> </w:t>
      </w:r>
      <w:r>
        <w:t xml:space="preserve">“résultat externe”</w:t>
      </w:r>
      <w:r>
        <w:t xml:space="preserve">, l’outil aide à clarifier ses désirs, à sentir ce qui résonne ou non</w:t>
      </w:r>
    </w:p>
    <w:p>
      <w:pPr>
        <w:pStyle w:val="Compact"/>
        <w:numPr>
          <w:ilvl w:val="0"/>
          <w:numId w:val="1024"/>
        </w:numPr>
      </w:pPr>
      <w:r>
        <w:rPr>
          <w:b/>
          <w:bCs/>
        </w:rPr>
        <w:t xml:space="preserve">Message clé</w:t>
      </w:r>
      <w:r>
        <w:t xml:space="preserve"> </w:t>
      </w:r>
      <w:r>
        <w:t xml:space="preserve">:</w:t>
      </w:r>
      <w:r>
        <w:t xml:space="preserve"> </w:t>
      </w:r>
      <w:r>
        <w:t xml:space="preserve">“Parfois, voir permet simplement de savoir.”</w:t>
      </w:r>
    </w:p>
    <w:p>
      <w:r>
        <w:pict>
          <v:rect style="width:0;height:1.5pt" o:hralign="center" o:hrstd="t" o:hr="t"/>
        </w:pict>
      </w:r>
    </w:p>
    <w:bookmarkEnd w:id="46"/>
    <w:bookmarkEnd w:id="47"/>
    <w:bookmarkStart w:id="48" w:name="positionnement-ads-résumé"/>
    <w:p>
      <w:pPr>
        <w:pStyle w:val="Heading2"/>
      </w:pPr>
      <w:r>
        <w:t xml:space="preserve">Positionnement Ads (résumé)</w:t>
      </w:r>
    </w:p>
    <w:p>
      <w:pPr>
        <w:pStyle w:val="FirstParagraph"/>
      </w:pPr>
      <w:r>
        <w:t xml:space="preserve">Sublym peut être positionné comme :</w:t>
      </w:r>
      <w:r>
        <w:t xml:space="preserve"> </w:t>
      </w:r>
      <w:r>
        <w:t xml:space="preserve">- Outil de projection mentale</w:t>
      </w:r>
      <w:r>
        <w:t xml:space="preserve"> </w:t>
      </w:r>
      <w:r>
        <w:t xml:space="preserve">- Miroir identitaire</w:t>
      </w:r>
      <w:r>
        <w:t xml:space="preserve"> </w:t>
      </w:r>
      <w:r>
        <w:t xml:space="preserve">- Expérience immersive personnalisée</w:t>
      </w:r>
      <w:r>
        <w:t xml:space="preserve"> </w:t>
      </w:r>
      <w:r>
        <w:t xml:space="preserve">- Activateur de cohérence interne</w:t>
      </w:r>
      <w:r>
        <w:t xml:space="preserve"> </w:t>
      </w:r>
      <w:r>
        <w:t xml:space="preserve">- Amplificateur d’intention (pas une promesse magique)</w:t>
      </w:r>
    </w:p>
    <w:p>
      <w:r>
        <w:pict>
          <v:rect style="width:0;height:1.5pt" o:hralign="center" o:hrstd="t" o:hr="t"/>
        </w:pict>
      </w:r>
    </w:p>
    <w:bookmarkEnd w:id="48"/>
    <w:bookmarkStart w:id="49" w:name="prochaines-étapes-possibles"/>
    <w:p>
      <w:pPr>
        <w:pStyle w:val="Heading2"/>
      </w:pPr>
      <w:r>
        <w:t xml:space="preserve">Prochaines étapes possibles</w:t>
      </w:r>
    </w:p>
    <w:p>
      <w:pPr>
        <w:pStyle w:val="Compact"/>
        <w:numPr>
          <w:ilvl w:val="0"/>
          <w:numId w:val="1025"/>
        </w:numPr>
      </w:pPr>
      <w:r>
        <w:t xml:space="preserve">Réduire à 5 piliers marketing</w:t>
      </w:r>
    </w:p>
    <w:p>
      <w:pPr>
        <w:pStyle w:val="Compact"/>
        <w:numPr>
          <w:ilvl w:val="0"/>
          <w:numId w:val="1025"/>
        </w:numPr>
      </w:pPr>
      <w:r>
        <w:t xml:space="preserve">Transformer ces angles en hooks publicitaires Facebook</w:t>
      </w:r>
    </w:p>
    <w:p>
      <w:pPr>
        <w:pStyle w:val="Compact"/>
        <w:numPr>
          <w:ilvl w:val="0"/>
          <w:numId w:val="1025"/>
        </w:numPr>
      </w:pPr>
      <w:r>
        <w:t xml:space="preserve">Ecrire 3 scripts de vidéos ads (15-30s)</w:t>
      </w:r>
    </w:p>
    <w:p>
      <w:pPr>
        <w:pStyle w:val="Compact"/>
        <w:numPr>
          <w:ilvl w:val="0"/>
          <w:numId w:val="1025"/>
        </w:numPr>
      </w:pPr>
      <w:r>
        <w:t xml:space="preserve">Définir les promesses acceptables légalement</w:t>
      </w:r>
    </w:p>
    <w:p>
      <w:pPr>
        <w:pStyle w:val="Compact"/>
        <w:numPr>
          <w:ilvl w:val="0"/>
          <w:numId w:val="1025"/>
        </w:numPr>
      </w:pPr>
      <w:r>
        <w:t xml:space="preserve">Adapter le discours selon : sceptiques / curieux / spirituels</w:t>
      </w:r>
    </w:p>
    <w:p>
      <w:pPr>
        <w:pStyle w:val="Compact"/>
        <w:numPr>
          <w:ilvl w:val="0"/>
          <w:numId w:val="1025"/>
        </w:numPr>
      </w:pPr>
      <w:r>
        <w:t xml:space="preserve">Mapper famille -&gt; format vidéo -&gt; promesse autorisée</w:t>
      </w:r>
    </w:p>
    <w:bookmarkEnd w:id="49"/>
    <w:bookmarkEnd w:id="5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2026-02-05T14:42:34Z</dcterms:created>
  <dcterms:modified xsi:type="dcterms:W3CDTF">2026-02-05T14:42:34Z</dcterms:modified>
</cp:coreProperties>
</file>

<file path=docProps/custom.xml><?xml version="1.0" encoding="utf-8"?>
<Properties xmlns="http://schemas.openxmlformats.org/officeDocument/2006/custom-properties" xmlns:vt="http://schemas.openxmlformats.org/officeDocument/2006/docPropsVTypes"/>
</file>