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01.02 - How participants connect to EUSurvey</w:t>
      </w:r>
    </w:p>
    <w:p>
      <w:pPr>
        <w:jc w:val="left"/>
      </w:pPr>
      <w:r>
        <w:rPr>
          <w:i/>
        </w:rPr>
        <w:t>Normalized RAG-optimized Knowledge Base article for EUSurvey participants/respondents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4986"/>
            <w:vAlign w:val="center"/>
          </w:tcPr>
          <w:p>
            <w:r>
              <w:t>EUSurvey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4986"/>
            <w:vAlign w:val="center"/>
          </w:tcPr>
          <w:p>
            <w:r>
              <w:t>Participant / respondent / contributor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FAQ section</w:t>
            </w:r>
          </w:p>
        </w:tc>
        <w:tc>
          <w:tcPr>
            <w:tcW w:type="dxa" w:w="4986"/>
            <w:vAlign w:val="center"/>
          </w:tcPr>
          <w:p>
            <w:r>
              <w:t>Logging in and creating an account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986"/>
            <w:vAlign w:val="center"/>
          </w:tcPr>
          <w:p>
            <w:r>
              <w:t>Login and account creation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Article type</w:t>
            </w:r>
          </w:p>
        </w:tc>
        <w:tc>
          <w:tcPr>
            <w:tcW w:type="dxa" w:w="4986"/>
            <w:vAlign w:val="center"/>
          </w:tcPr>
          <w:p>
            <w:r>
              <w:t>Normalized FAQ / how-to / troubleshooting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Primary intent</w:t>
            </w:r>
          </w:p>
        </w:tc>
        <w:tc>
          <w:tcPr>
            <w:tcW w:type="dxa" w:w="4986"/>
            <w:vAlign w:val="center"/>
          </w:tcPr>
          <w:p>
            <w:r>
              <w:t>Participant wants to understand how to sign in to EUSurvey and which login option applies to them.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986"/>
            <w:vAlign w:val="center"/>
          </w:tcPr>
          <w:p>
            <w:r>
              <w:t>Draft - normalized from FAQ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986"/>
            <w:vAlign w:val="center"/>
          </w:tcPr>
          <w:p>
            <w:r>
              <w:t>EUSurvey FAQ for participants/contributors, English version, exported from EUSurvey Help page.</w:t>
            </w:r>
          </w:p>
        </w:tc>
      </w:tr>
    </w:tbl>
    <w:p>
      <w:pPr>
        <w:pStyle w:val="Heading1"/>
      </w:pPr>
      <w:r>
        <w:t>Purpose</w:t>
      </w:r>
    </w:p>
    <w:p>
      <w:r>
        <w:t>Explain which login option participants should use when accessing EUSurvey.</w:t>
      </w:r>
    </w:p>
    <w:p>
      <w:pPr>
        <w:pStyle w:val="Heading1"/>
      </w:pPr>
      <w:r>
        <w:t>User question examples</w:t>
      </w:r>
    </w:p>
    <w:p>
      <w:pPr>
        <w:pStyle w:val="ListBullet"/>
      </w:pPr>
      <w:r>
        <w:t>How do I connect to EUSurvey?</w:t>
      </w:r>
    </w:p>
    <w:p>
      <w:pPr>
        <w:pStyle w:val="ListBullet"/>
      </w:pPr>
      <w:r>
        <w:t>Which login option should I choose in EUSurvey?</w:t>
      </w:r>
    </w:p>
    <w:p>
      <w:pPr>
        <w:pStyle w:val="ListBullet"/>
      </w:pPr>
      <w:r>
        <w:t>How do external users log in to EUSurvey?</w:t>
      </w:r>
    </w:p>
    <w:p>
      <w:pPr>
        <w:pStyle w:val="Heading1"/>
      </w:pPr>
      <w:r>
        <w:t>Direct answer</w:t>
      </w:r>
    </w:p>
    <w:p>
      <w:r>
        <w:t>To connect to EUSurvey, select Login on the EUSurvey homepage. You will be redirected to the EUSurvey login screen, where you must choose the option that matches your situation.</w:t>
      </w:r>
    </w:p>
    <w:p>
      <w:pPr>
        <w:pStyle w:val="Heading1"/>
      </w:pPr>
      <w:r>
        <w:t>Procedure or guidance</w:t>
      </w:r>
    </w:p>
    <w:p>
      <w:pPr>
        <w:pStyle w:val="ListNumber"/>
      </w:pPr>
      <w:r>
        <w:t>Open the EUSurvey homepage: https://ec.europa.eu/eusurvey/home/welcome.</w:t>
      </w:r>
    </w:p>
    <w:p>
      <w:pPr>
        <w:pStyle w:val="ListNumber"/>
      </w:pPr>
      <w:r>
        <w:t>Click Login.</w:t>
      </w:r>
    </w:p>
    <w:p>
      <w:pPr>
        <w:pStyle w:val="ListNumber"/>
      </w:pPr>
      <w:r>
        <w:t>On the EUSurvey login screen, choose the option that applies to you.</w:t>
      </w:r>
    </w:p>
    <w:p>
      <w:pPr>
        <w:pStyle w:val="ListNumber"/>
      </w:pPr>
      <w:r>
        <w:t>If you work for an EU institution, choose the EU institution option and connect with your EU Login username and password.</w:t>
      </w:r>
    </w:p>
    <w:p>
      <w:pPr>
        <w:pStyle w:val="ListNumber"/>
      </w:pPr>
      <w:r>
        <w:t>If you do not work for an EU institution, choose the external user option. External users must have an EU Login account and must have registered a mobile phone for two-factor authentication.</w:t>
      </w:r>
    </w:p>
    <w:p>
      <w:pPr>
        <w:pStyle w:val="Heading1"/>
      </w:pPr>
      <w:r>
        <w:t>Important notes and scope boundaries</w:t>
      </w:r>
    </w:p>
    <w:p>
      <w:pPr>
        <w:pStyle w:val="ListBullet"/>
      </w:pPr>
      <w:r>
        <w:t>External users may need to create an EU Login account: https://webgate.ec.europa.eu/cas/eim/external/register.cgi.</w:t>
      </w:r>
    </w:p>
    <w:p>
      <w:pPr>
        <w:pStyle w:val="ListBullet"/>
      </w:pPr>
      <w:r>
        <w:t>External users may need to register a mobile phone for two-factor authentication: https://ecas.ec.europa.eu/cas/userdata/mobileApp/manageMyMobileDevices.cgi.</w:t>
      </w:r>
    </w:p>
    <w:p>
      <w:pPr>
        <w:pStyle w:val="ListBullet"/>
      </w:pPr>
      <w:r>
        <w:t>Two-factor authentication may be required for external participants.</w:t>
      </w:r>
    </w:p>
    <w:p>
      <w:pPr>
        <w:pStyle w:val="Heading1"/>
      </w:pPr>
      <w:r>
        <w:t>Related articles</w:t>
      </w:r>
    </w:p>
    <w:p>
      <w:pPr>
        <w:pStyle w:val="ListBullet"/>
      </w:pPr>
      <w:r>
        <w:t>01.01 - EU Login account requirement for EUSurvey participants</w:t>
      </w:r>
    </w:p>
    <w:p>
      <w:pPr>
        <w:pStyle w:val="Heading1"/>
      </w:pPr>
      <w:r>
        <w:t>RAG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3F8"/>
          </w:tcPr>
          <w:p>
            <w:r>
              <w:rPr>
                <w:b/>
              </w:rPr>
              <w:t>Canonical title</w:t>
            </w:r>
          </w:p>
        </w:tc>
        <w:tc>
          <w:tcPr>
            <w:tcW w:type="dxa" w:w="4986"/>
          </w:tcPr>
          <w:p>
            <w:r>
              <w:t>How participants connect to EUSurvey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User role</w:t>
            </w:r>
          </w:p>
        </w:tc>
        <w:tc>
          <w:tcPr>
            <w:tcW w:type="dxa" w:w="4986"/>
          </w:tcPr>
          <w:p>
            <w:r>
              <w:t>Participant / respondent / contributor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Article scope</w:t>
            </w:r>
          </w:p>
        </w:tc>
        <w:tc>
          <w:tcPr>
            <w:tcW w:type="dxa" w:w="4986"/>
          </w:tcPr>
          <w:p>
            <w:r>
              <w:t>Participant-facing help only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Recommended retrieval keywords</w:t>
            </w:r>
          </w:p>
        </w:tc>
        <w:tc>
          <w:tcPr>
            <w:tcW w:type="dxa" w:w="4986"/>
          </w:tcPr>
          <w:p>
            <w:r>
              <w:t>account, and, choose, connect, creation, eusurvey, external, how, log, login, option, should, users, which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Language</w:t>
            </w:r>
          </w:p>
        </w:tc>
        <w:tc>
          <w:tcPr>
            <w:tcW w:type="dxa" w:w="4986"/>
          </w:tcPr>
          <w:p>
            <w:r>
              <w:t>English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Last reviewed</w:t>
            </w:r>
          </w:p>
        </w:tc>
        <w:tc>
          <w:tcPr>
            <w:tcW w:type="dxa" w:w="4986"/>
          </w:tcPr>
          <w:p>
            <w:r>
              <w:t>To be completed by content owner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EUSurvey participants KB - Article 01.02 - normalized from FAQ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DF8DA85-6FF5-4DAA-84E1-E5912AE227A0}"/>
</file>

<file path=customXml/itemProps3.xml><?xml version="1.0" encoding="utf-8"?>
<ds:datastoreItem xmlns:ds="http://schemas.openxmlformats.org/officeDocument/2006/customXml" ds:itemID="{184E3B38-D48A-4095-9267-22BE45427539}"/>
</file>

<file path=customXml/itemProps4.xml><?xml version="1.0" encoding="utf-8"?>
<ds:datastoreItem xmlns:ds="http://schemas.openxmlformats.org/officeDocument/2006/customXml" ds:itemID="{DCF40FC9-7334-4ED1-B8C9-D55D29048CA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