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02. When do I use EUSurvey?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Concept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the EUSurvey concept or feature: When do I use EUSurvey.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General questions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When do I use EUSurvey?</w:t>
      </w:r>
    </w:p>
    <w:p>
      <w:pPr>
        <w:pStyle w:val="Heading2"/>
      </w:pPr>
      <w:r>
        <w:t>Direct answer</w:t>
      </w:r>
    </w:p>
    <w:p>
      <w:r>
        <w:t>Use EUSurvey whenever you want to make a questionnaire or interactive form accessible online, or to record a large number of similar datasets.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is EUSurvey?</w:t>
      </w:r>
    </w:p>
    <w:p>
      <w:pPr>
        <w:pStyle w:val="ListBullet"/>
      </w:pPr>
      <w:r>
        <w:t>What are the limits of EUSurvey?</w:t>
      </w:r>
    </w:p>
    <w:p>
      <w:pPr>
        <w:pStyle w:val="ListBullet"/>
      </w:pPr>
      <w:r>
        <w:t>What are the features of EUSurvey?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eusurvey, general, questions, when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35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EF11C9-1637-4119-B108-23AF3FB1E5B8}"/>
</file>

<file path=customXml/itemProps3.xml><?xml version="1.0" encoding="utf-8"?>
<ds:datastoreItem xmlns:ds="http://schemas.openxmlformats.org/officeDocument/2006/customXml" ds:itemID="{CDECEDEB-E3FB-4D84-81E9-047121EC8248}"/>
</file>

<file path=customXml/itemProps4.xml><?xml version="1.0" encoding="utf-8"?>
<ds:datastoreItem xmlns:ds="http://schemas.openxmlformats.org/officeDocument/2006/customXml" ds:itemID="{FC049886-74A9-470A-8FFF-7444C4166A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