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05. Form management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Form management.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Form management</w:t>
      </w:r>
    </w:p>
    <w:p>
      <w:pPr>
        <w:pStyle w:val="Heading2"/>
      </w:pPr>
      <w:r>
        <w:t>Direct answer</w:t>
      </w:r>
    </w:p>
    <w:p>
      <w:r>
        <w:t>Working together For surveys that are managed by multiple users, EUSurvey lets you define advanced permissions for other users to test a survey or to analyse the results.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form, general, management,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B39B47-B3EA-4B53-AEC3-228E6EDDA622}"/>
</file>

<file path=customXml/itemProps3.xml><?xml version="1.0" encoding="utf-8"?>
<ds:datastoreItem xmlns:ds="http://schemas.openxmlformats.org/officeDocument/2006/customXml" ds:itemID="{487D3AC3-AFDC-43E3-AFB0-71EFA959F5AF}"/>
</file>

<file path=customXml/itemProps4.xml><?xml version="1.0" encoding="utf-8"?>
<ds:datastoreItem xmlns:ds="http://schemas.openxmlformats.org/officeDocument/2006/customXml" ds:itemID="{CD20C50A-7842-436C-A474-05914F1324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