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15. How do I connect to EUSurvey?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Login and EU Login registration</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connect to EUSurvey.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Login and EU Login registration</w:t>
      </w:r>
    </w:p>
    <w:p>
      <w:pPr>
        <w:pStyle w:val="Heading2"/>
      </w:pPr>
      <w:r>
        <w:t>User question examples</w:t>
      </w:r>
    </w:p>
    <w:p>
      <w:pPr>
        <w:pStyle w:val="ListBullet"/>
      </w:pPr>
      <w:r>
        <w:t>How do I connect to EUSurvey?</w:t>
      </w:r>
    </w:p>
    <w:p>
      <w:pPr>
        <w:pStyle w:val="ListBullet"/>
      </w:pPr>
      <w:r>
        <w:t>How can I connect to EUSurvey?</w:t>
      </w:r>
    </w:p>
    <w:p>
      <w:pPr>
        <w:pStyle w:val="Heading2"/>
      </w:pPr>
      <w:r>
        <w:t>Direct answer</w:t>
      </w:r>
    </w:p>
    <w:p>
      <w:r>
        <w:t>Please click on the login button on the EUSurvey homepage (https://ec.europa.eu/eusurvey/home/welcome) . You will be redirected to the EUSurvey login screen.</w:t>
      </w:r>
    </w:p>
    <w:p>
      <w:pPr>
        <w:pStyle w:val="Heading2"/>
      </w:pPr>
      <w:r>
        <w:t>Guidance / procedure</w:t>
      </w:r>
    </w:p>
    <w:p>
      <w:r>
        <w:t>Once you arrived on the login screen, you have to choose the option corresponding to your personal case: If you work for an EU institution, choose the second option to connect to the EUSurvey application. Your EU Login username and password will then be sufficient. If you don't work for an EU institution (Externals), choose the first option to connect to the EUSurvey application. You will need to have previously registered your mobile phone to pass the two-factor authentication (</w:t>
      </w:r>
      <w:hyperlink r:id="rId9">
        <w:r>
          <w:rPr>
            <w:color w:val="0563C1"/>
            <w:u w:val="single"/>
          </w:rPr>
          <w:t>https://en.wikipedia.org/wiki/Help:Two-factor_authentication</w:t>
        </w:r>
      </w:hyperlink>
      <w:r>
        <w:t>).</w:t>
      </w:r>
    </w:p>
    <w:p>
      <w:r>
        <w:t>If you don't have an EU Login account, please create one by clicking here (</w:t>
      </w:r>
      <w:hyperlink r:id="rId10">
        <w:r>
          <w:rPr>
            <w:color w:val="0563C1"/>
            <w:u w:val="single"/>
          </w:rPr>
          <w:t>https://webgate.ec.europa.eu/cas/eim/external/register.cgi</w:t>
        </w:r>
      </w:hyperlink>
      <w:r>
        <w:t>)</w:t>
      </w:r>
      <w:r>
        <w:t xml:space="preserve"> .</w:t>
      </w:r>
    </w:p>
    <w:p>
      <w:r>
        <w:t>In case you don't work for an EU institution, please also register your mobile phone by clicking here (</w:t>
      </w:r>
      <w:hyperlink r:id="rId11">
        <w:r>
          <w:rPr>
            <w:color w:val="0563C1"/>
            <w:u w:val="single"/>
          </w:rPr>
          <w:t>https://ecas.ec.europa.eu/cas/userdata/mobileApp/manageMyMobileDevices.cgi</w:t>
        </w:r>
      </w:hyperlink>
      <w:r>
        <w:t>)</w:t>
      </w:r>
      <w:r>
        <w:t xml:space="preserve"> .</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I have an EU Login account. Do I need to register separately for EUSurvey?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Login and EU Login registration</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connect, eusurvey, login, registration</w:t>
            </w:r>
          </w:p>
        </w:tc>
      </w:tr>
      <w:tr>
        <w:tc>
          <w:tcPr>
            <w:tcW w:type="dxa" w:w="5040"/>
            <w:shd w:fill="EFEFEF"/>
          </w:tcPr>
          <w:p>
            <w:r>
              <w:t>Source line in extracted text</w:t>
            </w:r>
          </w:p>
        </w:tc>
        <w:tc>
          <w:tcPr>
            <w:tcW w:type="dxa" w:w="5040"/>
          </w:tcPr>
          <w:p>
            <w:r>
              <w:t>180</w:t>
            </w:r>
          </w:p>
        </w:tc>
      </w:tr>
    </w:tbl>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footer" Target="footer1.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ecas.ec.europa.eu/cas/userdata/mobileApp/manageMyMobileDevices.cgi"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ebgate.ec.europa.eu/cas/eim/external/register.cgi" TargetMode="External"/><Relationship Id="rId4" Type="http://schemas.microsoft.com/office/2007/relationships/stylesWithEffects" Target="stylesWithEffects.xml"/><Relationship Id="rId9" Type="http://schemas.openxmlformats.org/officeDocument/2006/relationships/hyperlink" Target="https://en.wikipedia.org/wiki/Help:Two-factor_authentication"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A3A4FC4-DC8E-4B50-99F5-A276C08F7C9D}"/>
</file>

<file path=customXml/itemProps3.xml><?xml version="1.0" encoding="utf-8"?>
<ds:datastoreItem xmlns:ds="http://schemas.openxmlformats.org/officeDocument/2006/customXml" ds:itemID="{1D11B8A8-4B3A-46BD-ACCF-535C2E5A9724}"/>
</file>

<file path=customXml/itemProps4.xml><?xml version="1.0" encoding="utf-8"?>
<ds:datastoreItem xmlns:ds="http://schemas.openxmlformats.org/officeDocument/2006/customXml" ds:itemID="{F27E1E3D-8CC7-4477-9AE9-3BE6E16DA03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