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SM-09.11 - How the inactive survey deletion process works</w:t>
      </w:r>
    </w:p>
    <w:p>
      <w:r>
        <w:rPr>
          <w:b/>
        </w:rPr>
        <w:t xml:space="preserve">Section: </w:t>
      </w:r>
      <w:r>
        <w:t>09 - Managing your survey</w:t>
      </w:r>
    </w:p>
    <w:p>
      <w:r>
        <w:rPr>
          <w:b/>
        </w:rPr>
        <w:t xml:space="preserve">Purpose: </w:t>
      </w:r>
      <w:r>
        <w:t>Explain the notification process before automatic deletion.</w:t>
      </w:r>
    </w:p>
    <w:p>
      <w:pPr>
        <w:pStyle w:val="Heading1"/>
      </w:pPr>
      <w:r>
        <w:t>Applies to</w:t>
      </w:r>
    </w:p>
    <w:p>
      <w:pPr>
        <w:pStyle w:val="ListBullet"/>
      </w:pPr>
      <w:r>
        <w:t>Product: EUSurvey</w:t>
      </w:r>
    </w:p>
    <w:p>
      <w:pPr>
        <w:pStyle w:val="ListBullet"/>
      </w:pPr>
      <w:r>
        <w:t>Audience: Survey owners; Form Managers; privileged users</w:t>
      </w:r>
    </w:p>
    <w:p>
      <w:pPr>
        <w:pStyle w:val="ListBullet"/>
      </w:pPr>
      <w:r>
        <w:t>Feature: Survey lifecycle; automatic deletion</w:t>
      </w:r>
    </w:p>
    <w:p>
      <w:pPr>
        <w:pStyle w:val="ListBullet"/>
      </w:pPr>
      <w:r>
        <w:t>Article type: FAQ / policy / how-to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How the inactive survey deletion process works?</w:t>
      </w:r>
    </w:p>
    <w:p>
      <w:pPr>
        <w:pStyle w:val="ListBullet"/>
      </w:pPr>
      <w:r>
        <w:t>Why did I receive an inactive survey notification?</w:t>
      </w:r>
    </w:p>
    <w:p>
      <w:pPr>
        <w:pStyle w:val="ListBullet"/>
      </w:pPr>
      <w:r>
        <w:t>How do I avoid losing an inactive survey?</w:t>
      </w:r>
    </w:p>
    <w:p>
      <w:pPr>
        <w:pStyle w:val="Heading1"/>
      </w:pPr>
      <w:r>
        <w:t>Direct answer</w:t>
      </w:r>
    </w:p>
    <w:p>
      <w:r>
        <w:t>When a survey has not received new contributions for one year, EUSurvey starts a notification process before deletion. If the survey remains inactive after the notifications, it is automatically deleted from the system.</w:t>
      </w:r>
    </w:p>
    <w:p>
      <w:pPr>
        <w:pStyle w:val="Heading1"/>
      </w:pPr>
      <w:r>
        <w:t>Important notes</w:t>
      </w:r>
    </w:p>
    <w:p>
      <w:pPr>
        <w:pStyle w:val="ListBullet"/>
      </w:pPr>
      <w:r>
        <w:t>First notification: the survey owner and privileged management users are informed that the survey is inactive and subject to deletion.</w:t>
      </w:r>
    </w:p>
    <w:p>
      <w:pPr>
        <w:pStyle w:val="ListBullet"/>
      </w:pPr>
      <w:r>
        <w:t>Second notification: a reminder is sent if no action is taken.</w:t>
      </w:r>
    </w:p>
    <w:p>
      <w:pPr>
        <w:pStyle w:val="ListBullet"/>
      </w:pPr>
      <w:r>
        <w:t>Final notification: a last notification is sent before deletion.</w:t>
      </w:r>
    </w:p>
    <w:p>
      <w:pPr>
        <w:pStyle w:val="ListBullet"/>
      </w:pPr>
      <w:r>
        <w:t>The timing may change through configuration, but the initial schedule is 60 days, 45 days and 3 days before deletion.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SM-10.14 - How to export a survey and its data</w:t>
      </w:r>
    </w:p>
    <w:p>
      <w:pPr>
        <w:pStyle w:val="ListBullet"/>
      </w:pPr>
      <w:r>
        <w:t>SM-09.07 - Archiving feature</w:t>
      </w:r>
    </w:p>
    <w:p>
      <w:pPr>
        <w:pStyle w:val="ListBullet"/>
      </w:pPr>
      <w:r>
        <w:t>SM-09.11 - How the inactive survey deletion process works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t>Field</w:t>
            </w:r>
          </w:p>
        </w:tc>
        <w:tc>
          <w:tcPr>
            <w:tcW w:type="dxa" w:w="5040"/>
            <w:shd w:fill="D9EAF7"/>
          </w:tcPr>
          <w:p>
            <w:r>
              <w:t>Value</w:t>
            </w:r>
          </w:p>
        </w:tc>
      </w:tr>
      <w:tr>
        <w:tc>
          <w:tcPr>
            <w:tcW w:type="dxa" w:w="5040"/>
          </w:tcPr>
          <w:p>
            <w:r>
              <w:t>Article number</w:t>
            </w:r>
          </w:p>
        </w:tc>
        <w:tc>
          <w:tcPr>
            <w:tcW w:type="dxa" w:w="5040"/>
          </w:tcPr>
          <w:p>
            <w:r>
              <w:t>SM-09.11</w:t>
            </w:r>
          </w:p>
        </w:tc>
      </w:tr>
      <w:tr>
        <w:tc>
          <w:tcPr>
            <w:tcW w:type="dxa" w:w="5040"/>
          </w:tcPr>
          <w:p>
            <w:r>
              <w:t>Title</w:t>
            </w:r>
          </w:p>
        </w:tc>
        <w:tc>
          <w:tcPr>
            <w:tcW w:type="dxa" w:w="5040"/>
          </w:tcPr>
          <w:p>
            <w:r>
              <w:t>How the inactive survey deletion process works</w:t>
            </w:r>
          </w:p>
        </w:tc>
      </w:tr>
      <w:tr>
        <w:tc>
          <w:tcPr>
            <w:tcW w:type="dxa" w:w="5040"/>
          </w:tcPr>
          <w:p>
            <w:r>
              <w:t>Product</w:t>
            </w:r>
          </w:p>
        </w:tc>
        <w:tc>
          <w:tcPr>
            <w:tcW w:type="dxa" w:w="5040"/>
          </w:tcPr>
          <w:p>
            <w:r>
              <w:t>EUSurvey</w:t>
            </w:r>
          </w:p>
        </w:tc>
      </w:tr>
      <w:tr>
        <w:tc>
          <w:tcPr>
            <w:tcW w:type="dxa" w:w="5040"/>
          </w:tcPr>
          <w:p>
            <w:r>
              <w:t>Section</w:t>
            </w:r>
          </w:p>
        </w:tc>
        <w:tc>
          <w:tcPr>
            <w:tcW w:type="dxa" w:w="5040"/>
          </w:tcPr>
          <w:p>
            <w:r>
              <w:t>09 - Managing your survey</w:t>
            </w:r>
          </w:p>
        </w:tc>
      </w:tr>
      <w:tr>
        <w:tc>
          <w:tcPr>
            <w:tcW w:type="dxa" w:w="5040"/>
          </w:tcPr>
          <w:p>
            <w:r>
              <w:t>Audience</w:t>
            </w:r>
          </w:p>
        </w:tc>
        <w:tc>
          <w:tcPr>
            <w:tcW w:type="dxa" w:w="5040"/>
          </w:tcPr>
          <w:p>
            <w:r>
              <w:t>Survey owners; Form Managers; privileged users</w:t>
            </w:r>
          </w:p>
        </w:tc>
      </w:tr>
      <w:tr>
        <w:tc>
          <w:tcPr>
            <w:tcW w:type="dxa" w:w="5040"/>
          </w:tcPr>
          <w:p>
            <w:r>
              <w:t>Article type</w:t>
            </w:r>
          </w:p>
        </w:tc>
        <w:tc>
          <w:tcPr>
            <w:tcW w:type="dxa" w:w="5040"/>
          </w:tcPr>
          <w:p>
            <w:r>
              <w:t>FAQ / policy / how-to</w:t>
            </w:r>
          </w:p>
        </w:tc>
      </w:tr>
      <w:tr>
        <w:tc>
          <w:tcPr>
            <w:tcW w:type="dxa" w:w="5040"/>
          </w:tcPr>
          <w:p>
            <w:r>
              <w:t>Status</w:t>
            </w:r>
          </w:p>
        </w:tc>
        <w:tc>
          <w:tcPr>
            <w:tcW w:type="dxa" w:w="5040"/>
          </w:tcPr>
          <w:p>
            <w:r>
              <w:t>Draft normalized article</w:t>
            </w:r>
          </w:p>
        </w:tc>
      </w:tr>
      <w:tr>
        <w:tc>
          <w:tcPr>
            <w:tcW w:type="dxa" w:w="5040"/>
          </w:tcPr>
          <w:p>
            <w:r>
              <w:t>Keywords</w:t>
            </w:r>
          </w:p>
        </w:tc>
        <w:tc>
          <w:tcPr>
            <w:tcW w:type="dxa" w:w="5040"/>
          </w:tcPr>
          <w:p>
            <w:r>
              <w:t>inactive survey, automatic deletion, deletion notification, inactivity, 365 days, Form Manager, export, .eus, archive</w:t>
            </w:r>
          </w:p>
        </w:tc>
      </w:tr>
      <w:tr>
        <w:tc>
          <w:tcPr>
            <w:tcW w:type="dxa" w:w="5040"/>
          </w:tcPr>
          <w:p>
            <w:r>
              <w:t>Source</w:t>
            </w:r>
          </w:p>
        </w:tc>
        <w:tc>
          <w:tcPr>
            <w:tcW w:type="dxa" w:w="5040"/>
          </w:tcPr>
          <w:p>
            <w:r>
              <w:t>FAQ auto-delete.pdf, pages 1-4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Draft normalized article - generated from provided source material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EUSurvey Knowledge Base - Normalized RAG Article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BCD8319-1592-425E-AE26-7F0BDE44808E}"/>
</file>

<file path=customXml/itemProps3.xml><?xml version="1.0" encoding="utf-8"?>
<ds:datastoreItem xmlns:ds="http://schemas.openxmlformats.org/officeDocument/2006/customXml" ds:itemID="{F826A97C-254A-46F2-B17C-096F012DFB88}"/>
</file>

<file path=customXml/itemProps4.xml><?xml version="1.0" encoding="utf-8"?>
<ds:datastoreItem xmlns:ds="http://schemas.openxmlformats.org/officeDocument/2006/customXml" ds:itemID="{2BDB65B0-23B4-43B2-920F-CAC2C367714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