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SM-16.01 - Why EUSurvey is focusing on EU institutional use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Explain why the Commission-hosted EUSurvey service is progressively focusing on EU institutional use.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Why is focusing on EU institutional use?</w:t>
      </w:r>
    </w:p>
    <w:p>
      <w:pPr>
        <w:pStyle w:val="Heading1"/>
      </w:pPr>
      <w:r>
        <w:t>Direct answer</w:t>
      </w:r>
    </w:p>
    <w:p>
      <w:r>
        <w:t>EUSurvey is developed and maintained by the European Commission primarily to support EU Institutions, Bodies, Offices and Agencies. The transition supports long-term sustainability, EU governance, security, data protection compliance, and reliable support for institutional users.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This change does not prevent external users from responding to surveys.</w:t>
      </w:r>
    </w:p>
    <w:p>
      <w:pPr>
        <w:pStyle w:val="ListBullet"/>
      </w:pPr>
      <w:r>
        <w:t>External contractors may still manage surveys created under EU institutional responsibility when appropriate permissions are granted.</w:t>
      </w:r>
    </w:p>
    <w:p>
      <w:pPr>
        <w:pStyle w:val="ListBullet"/>
      </w:pPr>
      <w:r>
        <w:t>External users can still export data during the transition period.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SM-16.01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Why EUSurvey is focusing on EU institutional use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F6B66D-864C-4C51-AD7E-DE4479A6A44C}"/>
</file>

<file path=customXml/itemProps3.xml><?xml version="1.0" encoding="utf-8"?>
<ds:datastoreItem xmlns:ds="http://schemas.openxmlformats.org/officeDocument/2006/customXml" ds:itemID="{215A9258-1F4C-46C4-BC4E-E85370340756}"/>
</file>

<file path=customXml/itemProps4.xml><?xml version="1.0" encoding="utf-8"?>
<ds:datastoreItem xmlns:ds="http://schemas.openxmlformats.org/officeDocument/2006/customXml" ds:itemID="{E56C9EB1-8EB9-4BC3-BB1F-ADCE7BD77A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