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SM-16.02 - Who is impacted by the EUSurvey transition</w:t>
      </w:r>
    </w:p>
    <w:p>
      <w:r>
        <w:rPr>
          <w:b/>
        </w:rPr>
        <w:t xml:space="preserve">Section: </w:t>
      </w:r>
      <w:r>
        <w:t>16 - EU institutional-use transition</w:t>
      </w:r>
    </w:p>
    <w:p>
      <w:r>
        <w:rPr>
          <w:b/>
        </w:rPr>
        <w:t xml:space="preserve">Purpose: </w:t>
      </w:r>
      <w:r>
        <w:t>Identify the external users affected by the transition to EU institutional use.</w:t>
      </w:r>
    </w:p>
    <w:p>
      <w:pPr>
        <w:pStyle w:val="Heading1"/>
      </w:pPr>
      <w:r>
        <w:t>Applies to</w:t>
      </w:r>
    </w:p>
    <w:p>
      <w:pPr>
        <w:pStyle w:val="ListBullet"/>
      </w:pPr>
      <w:r>
        <w:t>Product: EUSurvey</w:t>
      </w:r>
    </w:p>
    <w:p>
      <w:pPr>
        <w:pStyle w:val="ListBullet"/>
      </w:pPr>
      <w:r>
        <w:t>Audience: External survey managers; EU institutional survey owners</w:t>
      </w:r>
    </w:p>
    <w:p>
      <w:pPr>
        <w:pStyle w:val="ListBullet"/>
      </w:pPr>
      <w:r>
        <w:t>Feature: EU institutional-use transition</w:t>
      </w:r>
    </w:p>
    <w:p>
      <w:pPr>
        <w:pStyle w:val="ListBullet"/>
      </w:pPr>
      <w:r>
        <w:t>Article type: FAQ / policy</w:t>
      </w:r>
    </w:p>
    <w:p>
      <w:pPr>
        <w:pStyle w:val="Heading1"/>
      </w:pPr>
      <w:r>
        <w:t>User question examples</w:t>
      </w:r>
    </w:p>
    <w:p>
      <w:pPr>
        <w:pStyle w:val="ListBullet"/>
      </w:pPr>
      <w:r>
        <w:t>Who is impacted by the transition?</w:t>
      </w:r>
    </w:p>
    <w:p>
      <w:pPr>
        <w:pStyle w:val="Heading1"/>
      </w:pPr>
      <w:r>
        <w:t>Direct answer</w:t>
      </w:r>
    </w:p>
    <w:p>
      <w:r>
        <w:t>The change affects external users with external EU Login accounts who create or manage surveys in the EUSurvey back office. From 31 August 2026, these users will no longer be able to create new surveys themselves unless the survey is created under EU institutional responsibility.</w:t>
      </w:r>
    </w:p>
    <w:p>
      <w:pPr>
        <w:pStyle w:val="Heading1"/>
      </w:pPr>
      <w:r>
        <w:t>Important notes</w:t>
      </w:r>
    </w:p>
    <w:p>
      <w:pPr>
        <w:pStyle w:val="ListBullet"/>
      </w:pPr>
      <w:r>
        <w:t>Examples of impacted users include citizens, businesses, consultants, researchers, NGOs, national public administrations and Member State authorities.</w:t>
      </w:r>
    </w:p>
    <w:p>
      <w:pPr>
        <w:pStyle w:val="ListBullet"/>
      </w:pPr>
      <w:r>
        <w:t>Existing surveys created by external users remain accessible during the transition period.</w:t>
      </w:r>
    </w:p>
    <w:p>
      <w:pPr>
        <w:pStyle w:val="Heading1"/>
      </w:pPr>
      <w:r>
        <w:t>Related articles</w:t>
      </w:r>
    </w:p>
    <w:p>
      <w:pPr>
        <w:pStyle w:val="ListBullet"/>
      </w:pPr>
      <w:r>
        <w:t>SM-16.04 - EUSurvey transition timeline for external users</w:t>
      </w:r>
    </w:p>
    <w:p>
      <w:pPr>
        <w:pStyle w:val="ListBullet"/>
      </w:pPr>
      <w:r>
        <w:t>SM-16.08 - How to transfer a survey to an EU institution</w:t>
      </w:r>
    </w:p>
    <w:p>
      <w:pPr>
        <w:pStyle w:val="ListBullet"/>
      </w:pPr>
      <w:r>
        <w:t>SM-16.10 - How external users can export survey data during the transition</w:t>
      </w:r>
    </w:p>
    <w:p>
      <w:pPr>
        <w:pStyle w:val="Heading1"/>
      </w:pPr>
      <w:r>
        <w:t>RAG metadata</w:t>
      </w:r>
    </w:p>
    <w:tbl>
      <w:tblPr>
        <w:tblStyle w:val="TableGrid"/>
        <w:tblW w:type="auto" w:w="0"/>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Value</w:t>
            </w:r>
          </w:p>
        </w:tc>
      </w:tr>
      <w:tr>
        <w:tc>
          <w:tcPr>
            <w:tcW w:type="dxa" w:w="5040"/>
          </w:tcPr>
          <w:p>
            <w:r>
              <w:t>Article number</w:t>
            </w:r>
          </w:p>
        </w:tc>
        <w:tc>
          <w:tcPr>
            <w:tcW w:type="dxa" w:w="5040"/>
          </w:tcPr>
          <w:p>
            <w:r>
              <w:t>SM-16.02</w:t>
            </w:r>
          </w:p>
        </w:tc>
      </w:tr>
      <w:tr>
        <w:tc>
          <w:tcPr>
            <w:tcW w:type="dxa" w:w="5040"/>
          </w:tcPr>
          <w:p>
            <w:r>
              <w:t>Title</w:t>
            </w:r>
          </w:p>
        </w:tc>
        <w:tc>
          <w:tcPr>
            <w:tcW w:type="dxa" w:w="5040"/>
          </w:tcPr>
          <w:p>
            <w:r>
              <w:t>Who is impacted by the EUSurvey transition</w:t>
            </w:r>
          </w:p>
        </w:tc>
      </w:tr>
      <w:tr>
        <w:tc>
          <w:tcPr>
            <w:tcW w:type="dxa" w:w="5040"/>
          </w:tcPr>
          <w:p>
            <w:r>
              <w:t>Product</w:t>
            </w:r>
          </w:p>
        </w:tc>
        <w:tc>
          <w:tcPr>
            <w:tcW w:type="dxa" w:w="5040"/>
          </w:tcPr>
          <w:p>
            <w:r>
              <w:t>EUSurvey</w:t>
            </w:r>
          </w:p>
        </w:tc>
      </w:tr>
      <w:tr>
        <w:tc>
          <w:tcPr>
            <w:tcW w:type="dxa" w:w="5040"/>
          </w:tcPr>
          <w:p>
            <w:r>
              <w:t>Section</w:t>
            </w:r>
          </w:p>
        </w:tc>
        <w:tc>
          <w:tcPr>
            <w:tcW w:type="dxa" w:w="5040"/>
          </w:tcPr>
          <w:p>
            <w:r>
              <w:t>16 - EU institutional-use transition</w:t>
            </w:r>
          </w:p>
        </w:tc>
      </w:tr>
      <w:tr>
        <w:tc>
          <w:tcPr>
            <w:tcW w:type="dxa" w:w="5040"/>
          </w:tcPr>
          <w:p>
            <w:r>
              <w:t>Audience</w:t>
            </w:r>
          </w:p>
        </w:tc>
        <w:tc>
          <w:tcPr>
            <w:tcW w:type="dxa" w:w="5040"/>
          </w:tcPr>
          <w:p>
            <w:r>
              <w:t>External survey managers; EU institutional survey owners</w:t>
            </w:r>
          </w:p>
        </w:tc>
      </w:tr>
      <w:tr>
        <w:tc>
          <w:tcPr>
            <w:tcW w:type="dxa" w:w="5040"/>
          </w:tcPr>
          <w:p>
            <w:r>
              <w:t>Article type</w:t>
            </w:r>
          </w:p>
        </w:tc>
        <w:tc>
          <w:tcPr>
            <w:tcW w:type="dxa" w:w="5040"/>
          </w:tcPr>
          <w:p>
            <w:r>
              <w:t>FAQ / policy</w:t>
            </w:r>
          </w:p>
        </w:tc>
      </w:tr>
      <w:tr>
        <w:tc>
          <w:tcPr>
            <w:tcW w:type="dxa" w:w="5040"/>
          </w:tcPr>
          <w:p>
            <w:r>
              <w:t>Status</w:t>
            </w:r>
          </w:p>
        </w:tc>
        <w:tc>
          <w:tcPr>
            <w:tcW w:type="dxa" w:w="5040"/>
          </w:tcPr>
          <w:p>
            <w:r>
              <w:t>Draft normalized article</w:t>
            </w:r>
          </w:p>
        </w:tc>
      </w:tr>
      <w:tr>
        <w:tc>
          <w:tcPr>
            <w:tcW w:type="dxa" w:w="5040"/>
          </w:tcPr>
          <w:p>
            <w:r>
              <w:t>Keywords</w:t>
            </w:r>
          </w:p>
        </w:tc>
        <w:tc>
          <w:tcPr>
            <w:tcW w:type="dxa" w:w="5040"/>
          </w:tcPr>
          <w:p>
            <w:r>
              <w:t>EUSurvey transition, external users, EU institutional use, survey creation restriction, read-only, closure, transfer ownership</w:t>
            </w:r>
          </w:p>
        </w:tc>
      </w:tr>
      <w:tr>
        <w:tc>
          <w:tcPr>
            <w:tcW w:type="dxa" w:w="5040"/>
          </w:tcPr>
          <w:p>
            <w:r>
              <w:t>Source</w:t>
            </w:r>
          </w:p>
        </w:tc>
        <w:tc>
          <w:tcPr>
            <w:tcW w:type="dxa" w:w="5040"/>
          </w:tcPr>
          <w:p>
            <w:r>
              <w:t>Communication - EU Transition v9.pdf, pages 1-10</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normalized article - generated from provided source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EUSurvey Knowledge Base - Normalized RAG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65AB86-B1D7-4EF3-A849-8C5CFBE37037}"/>
</file>

<file path=customXml/itemProps3.xml><?xml version="1.0" encoding="utf-8"?>
<ds:datastoreItem xmlns:ds="http://schemas.openxmlformats.org/officeDocument/2006/customXml" ds:itemID="{75944BAF-8C48-4212-B5D9-ED01CEAAB4AA}"/>
</file>

<file path=customXml/itemProps4.xml><?xml version="1.0" encoding="utf-8"?>
<ds:datastoreItem xmlns:ds="http://schemas.openxmlformats.org/officeDocument/2006/customXml" ds:itemID="{749BC3F6-6233-4D71-BD07-9D6FF0EE703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