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SM-16.03 - Who is not impacted by the EUSurvey transition</w:t>
      </w:r>
    </w:p>
    <w:p>
      <w:r>
        <w:rPr>
          <w:b/>
        </w:rPr>
        <w:t xml:space="preserve">Section: </w:t>
      </w:r>
      <w:r>
        <w:t>16 - EU institutional-use transition</w:t>
      </w:r>
    </w:p>
    <w:p>
      <w:r>
        <w:rPr>
          <w:b/>
        </w:rPr>
        <w:t xml:space="preserve">Purpose: </w:t>
      </w:r>
      <w:r>
        <w:t>Clarify which users and use cases are not affected by the transition.</w:t>
      </w:r>
    </w:p>
    <w:p>
      <w:pPr>
        <w:pStyle w:val="Heading1"/>
      </w:pPr>
      <w:r>
        <w:t>Applies to</w:t>
      </w:r>
    </w:p>
    <w:p>
      <w:pPr>
        <w:pStyle w:val="ListBullet"/>
      </w:pPr>
      <w:r>
        <w:t>Product: EUSurvey</w:t>
      </w:r>
    </w:p>
    <w:p>
      <w:pPr>
        <w:pStyle w:val="ListBullet"/>
      </w:pPr>
      <w:r>
        <w:t>Audience: External survey managers; EU institutional survey owners</w:t>
      </w:r>
    </w:p>
    <w:p>
      <w:pPr>
        <w:pStyle w:val="ListBullet"/>
      </w:pPr>
      <w:r>
        <w:t>Feature: EU institutional-use transition</w:t>
      </w:r>
    </w:p>
    <w:p>
      <w:pPr>
        <w:pStyle w:val="ListBullet"/>
      </w:pPr>
      <w:r>
        <w:t>Article type: FAQ / policy</w:t>
      </w:r>
    </w:p>
    <w:p>
      <w:pPr>
        <w:pStyle w:val="Heading1"/>
      </w:pPr>
      <w:r>
        <w:t>User question examples</w:t>
      </w:r>
    </w:p>
    <w:p>
      <w:pPr>
        <w:pStyle w:val="ListBullet"/>
      </w:pPr>
      <w:r>
        <w:t>Who is not impacted by the transition?</w:t>
      </w:r>
    </w:p>
    <w:p>
      <w:pPr>
        <w:pStyle w:val="Heading1"/>
      </w:pPr>
      <w:r>
        <w:t>Direct answer</w:t>
      </w:r>
    </w:p>
    <w:p>
      <w:r>
        <w:t>Staff of EU Institutions, Bodies, Offices and Agencies are not affected. Users responding to surveys, participating in open public consultations, or accessing published results are also not affected. External users working on behalf of an EU institution may continue to manage surveys created by an EU institutional user if appropriate permissions are granted.</w:t>
      </w:r>
    </w:p>
    <w:p>
      <w:pPr>
        <w:pStyle w:val="Heading1"/>
      </w:pPr>
      <w:r>
        <w:t>Important notes</w:t>
      </w:r>
    </w:p>
    <w:p>
      <w:pPr>
        <w:pStyle w:val="ListBullet"/>
      </w:pPr>
      <w:r>
        <w:t>Survey creation rights remain with EU institutional users.</w:t>
      </w:r>
    </w:p>
    <w:p>
      <w:pPr>
        <w:pStyle w:val="ListBullet"/>
      </w:pPr>
      <w:r>
        <w:t>The change concerns survey administration and management, not participation in surveys.</w:t>
      </w:r>
    </w:p>
    <w:p>
      <w:pPr>
        <w:pStyle w:val="Heading1"/>
      </w:pPr>
      <w:r>
        <w:t>Related articles</w:t>
      </w:r>
    </w:p>
    <w:p>
      <w:pPr>
        <w:pStyle w:val="ListBullet"/>
      </w:pPr>
      <w:r>
        <w:t>SM-16.04 - EUSurvey transition timeline for external users</w:t>
      </w:r>
    </w:p>
    <w:p>
      <w:pPr>
        <w:pStyle w:val="ListBullet"/>
      </w:pPr>
      <w:r>
        <w:t>SM-16.08 - How to transfer a survey to an EU institution</w:t>
      </w:r>
    </w:p>
    <w:p>
      <w:pPr>
        <w:pStyle w:val="ListBullet"/>
      </w:pPr>
      <w:r>
        <w:t>SM-16.10 - How external users can export survey data during the transition</w:t>
      </w:r>
    </w:p>
    <w:p>
      <w:pPr>
        <w:pStyle w:val="Heading1"/>
      </w:pPr>
      <w:r>
        <w:t>RAG metadata</w:t>
      </w:r>
    </w:p>
    <w:tbl>
      <w:tblPr>
        <w:tblStyle w:val="TableGrid"/>
        <w:tblW w:type="auto" w:w="0"/>
        <w:tblLook w:firstColumn="1" w:firstRow="1" w:lastColumn="0" w:lastRow="0" w:noHBand="0" w:noVBand="1" w:val="04A0"/>
      </w:tblPr>
      <w:tblGrid>
        <w:gridCol w:w="5040"/>
        <w:gridCol w:w="5040"/>
      </w:tblGrid>
      <w:tr>
        <w:tc>
          <w:tcPr>
            <w:tcW w:type="dxa" w:w="5040"/>
            <w:shd w:fill="D9EAF7"/>
          </w:tcPr>
          <w:p>
            <w:r>
              <w:t>Field</w:t>
            </w:r>
          </w:p>
        </w:tc>
        <w:tc>
          <w:tcPr>
            <w:tcW w:type="dxa" w:w="5040"/>
            <w:shd w:fill="D9EAF7"/>
          </w:tcPr>
          <w:p>
            <w:r>
              <w:t>Value</w:t>
            </w:r>
          </w:p>
        </w:tc>
      </w:tr>
      <w:tr>
        <w:tc>
          <w:tcPr>
            <w:tcW w:type="dxa" w:w="5040"/>
          </w:tcPr>
          <w:p>
            <w:r>
              <w:t>Article number</w:t>
            </w:r>
          </w:p>
        </w:tc>
        <w:tc>
          <w:tcPr>
            <w:tcW w:type="dxa" w:w="5040"/>
          </w:tcPr>
          <w:p>
            <w:r>
              <w:t>SM-16.03</w:t>
            </w:r>
          </w:p>
        </w:tc>
      </w:tr>
      <w:tr>
        <w:tc>
          <w:tcPr>
            <w:tcW w:type="dxa" w:w="5040"/>
          </w:tcPr>
          <w:p>
            <w:r>
              <w:t>Title</w:t>
            </w:r>
          </w:p>
        </w:tc>
        <w:tc>
          <w:tcPr>
            <w:tcW w:type="dxa" w:w="5040"/>
          </w:tcPr>
          <w:p>
            <w:r>
              <w:t>Who is not impacted by the EUSurvey transition</w:t>
            </w:r>
          </w:p>
        </w:tc>
      </w:tr>
      <w:tr>
        <w:tc>
          <w:tcPr>
            <w:tcW w:type="dxa" w:w="5040"/>
          </w:tcPr>
          <w:p>
            <w:r>
              <w:t>Product</w:t>
            </w:r>
          </w:p>
        </w:tc>
        <w:tc>
          <w:tcPr>
            <w:tcW w:type="dxa" w:w="5040"/>
          </w:tcPr>
          <w:p>
            <w:r>
              <w:t>EUSurvey</w:t>
            </w:r>
          </w:p>
        </w:tc>
      </w:tr>
      <w:tr>
        <w:tc>
          <w:tcPr>
            <w:tcW w:type="dxa" w:w="5040"/>
          </w:tcPr>
          <w:p>
            <w:r>
              <w:t>Section</w:t>
            </w:r>
          </w:p>
        </w:tc>
        <w:tc>
          <w:tcPr>
            <w:tcW w:type="dxa" w:w="5040"/>
          </w:tcPr>
          <w:p>
            <w:r>
              <w:t>16 - EU institutional-use transition</w:t>
            </w:r>
          </w:p>
        </w:tc>
      </w:tr>
      <w:tr>
        <w:tc>
          <w:tcPr>
            <w:tcW w:type="dxa" w:w="5040"/>
          </w:tcPr>
          <w:p>
            <w:r>
              <w:t>Audience</w:t>
            </w:r>
          </w:p>
        </w:tc>
        <w:tc>
          <w:tcPr>
            <w:tcW w:type="dxa" w:w="5040"/>
          </w:tcPr>
          <w:p>
            <w:r>
              <w:t>External survey managers; EU institutional survey owners</w:t>
            </w:r>
          </w:p>
        </w:tc>
      </w:tr>
      <w:tr>
        <w:tc>
          <w:tcPr>
            <w:tcW w:type="dxa" w:w="5040"/>
          </w:tcPr>
          <w:p>
            <w:r>
              <w:t>Article type</w:t>
            </w:r>
          </w:p>
        </w:tc>
        <w:tc>
          <w:tcPr>
            <w:tcW w:type="dxa" w:w="5040"/>
          </w:tcPr>
          <w:p>
            <w:r>
              <w:t>FAQ / policy</w:t>
            </w:r>
          </w:p>
        </w:tc>
      </w:tr>
      <w:tr>
        <w:tc>
          <w:tcPr>
            <w:tcW w:type="dxa" w:w="5040"/>
          </w:tcPr>
          <w:p>
            <w:r>
              <w:t>Status</w:t>
            </w:r>
          </w:p>
        </w:tc>
        <w:tc>
          <w:tcPr>
            <w:tcW w:type="dxa" w:w="5040"/>
          </w:tcPr>
          <w:p>
            <w:r>
              <w:t>Draft normalized article</w:t>
            </w:r>
          </w:p>
        </w:tc>
      </w:tr>
      <w:tr>
        <w:tc>
          <w:tcPr>
            <w:tcW w:type="dxa" w:w="5040"/>
          </w:tcPr>
          <w:p>
            <w:r>
              <w:t>Keywords</w:t>
            </w:r>
          </w:p>
        </w:tc>
        <w:tc>
          <w:tcPr>
            <w:tcW w:type="dxa" w:w="5040"/>
          </w:tcPr>
          <w:p>
            <w:r>
              <w:t>EUSurvey transition, external users, EU institutional use, survey creation restriction, read-only, closure, transfer ownership</w:t>
            </w:r>
          </w:p>
        </w:tc>
      </w:tr>
      <w:tr>
        <w:tc>
          <w:tcPr>
            <w:tcW w:type="dxa" w:w="5040"/>
          </w:tcPr>
          <w:p>
            <w:r>
              <w:t>Source</w:t>
            </w:r>
          </w:p>
        </w:tc>
        <w:tc>
          <w:tcPr>
            <w:tcW w:type="dxa" w:w="5040"/>
          </w:tcPr>
          <w:p>
            <w:r>
              <w:t>Communication - EU Transition v9.pdf, pages 1-10</w:t>
            </w:r>
          </w:p>
        </w:tc>
      </w:tr>
    </w:tbl>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Draft normalized article - generated from provided source material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EUSurvey Knowledge Base - Normalized RAG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922A108-0F47-44C9-8CB3-B21CF188DC46}"/>
</file>

<file path=customXml/itemProps3.xml><?xml version="1.0" encoding="utf-8"?>
<ds:datastoreItem xmlns:ds="http://schemas.openxmlformats.org/officeDocument/2006/customXml" ds:itemID="{927E46EA-2EFF-471D-BC3A-689D738E71F4}"/>
</file>

<file path=customXml/itemProps4.xml><?xml version="1.0" encoding="utf-8"?>
<ds:datastoreItem xmlns:ds="http://schemas.openxmlformats.org/officeDocument/2006/customXml" ds:itemID="{9A59669B-CEB5-48D0-BB93-3D8599DC6D0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