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SM-16.07 - What happens to existing surveys created by external users</w:t>
      </w:r>
    </w:p>
    <w:p>
      <w:r>
        <w:rPr>
          <w:b/>
        </w:rPr>
        <w:t xml:space="preserve">Section: </w:t>
      </w:r>
      <w:r>
        <w:t>16 - EU institutional-use transition</w:t>
      </w:r>
    </w:p>
    <w:p>
      <w:r>
        <w:rPr>
          <w:b/>
        </w:rPr>
        <w:t xml:space="preserve">Purpose: </w:t>
      </w:r>
      <w:r>
        <w:t>Explain what happens to surveys created by external users before the transition deadlines.</w:t>
      </w:r>
    </w:p>
    <w:p>
      <w:pPr>
        <w:pStyle w:val="Heading1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Audience: External survey managers; EU institutional survey owners</w:t>
      </w:r>
    </w:p>
    <w:p>
      <w:pPr>
        <w:pStyle w:val="ListBullet"/>
      </w:pPr>
      <w:r>
        <w:t>Feature: EU institutional-use transition</w:t>
      </w:r>
    </w:p>
    <w:p>
      <w:pPr>
        <w:pStyle w:val="ListBullet"/>
      </w:pPr>
      <w:r>
        <w:t>Article type: FAQ / policy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What happens to existing surveys created by external users?</w:t>
      </w:r>
    </w:p>
    <w:p>
      <w:pPr>
        <w:pStyle w:val="Heading1"/>
      </w:pPr>
      <w:r>
        <w:t>Direct answer</w:t>
      </w:r>
    </w:p>
    <w:p>
      <w:r>
        <w:t>Existing surveys created by external users remain available during the transition period. In April 2027, they switch to read-only mode. In September 2027, external surveys are permanently closed and archived.</w:t>
      </w:r>
    </w:p>
    <w:p>
      <w:pPr>
        <w:pStyle w:val="Heading1"/>
      </w:pPr>
      <w:r>
        <w:t>Important notes</w:t>
      </w:r>
    </w:p>
    <w:p>
      <w:pPr>
        <w:pStyle w:val="ListBullet"/>
      </w:pPr>
      <w:r>
        <w:t>In read-only mode, surveys cannot be edited and no new responses can be collected.</w:t>
      </w:r>
    </w:p>
    <w:p>
      <w:pPr>
        <w:pStyle w:val="ListBullet"/>
      </w:pPr>
      <w:r>
        <w:t>Users should export their data before the read-only phase begins.</w:t>
      </w:r>
    </w:p>
    <w:p>
      <w:pPr>
        <w:pStyle w:val="ListBullet"/>
      </w:pPr>
      <w:r>
        <w:t>Surveys created by EU Institutions, Bodies, Offices or Agencies are not affected.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SM-16.04 - EUSurvey transition timeline for external users</w:t>
      </w:r>
    </w:p>
    <w:p>
      <w:pPr>
        <w:pStyle w:val="ListBullet"/>
      </w:pPr>
      <w:r>
        <w:t>SM-16.08 - How to transfer a survey to an EU institution</w:t>
      </w:r>
    </w:p>
    <w:p>
      <w:pPr>
        <w:pStyle w:val="ListBullet"/>
      </w:pPr>
      <w:r>
        <w:t>SM-16.10 - How external users can export survey data during the transition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Article number</w:t>
            </w:r>
          </w:p>
        </w:tc>
        <w:tc>
          <w:tcPr>
            <w:tcW w:type="dxa" w:w="5040"/>
          </w:tcPr>
          <w:p>
            <w:r>
              <w:t>SM-16.07</w:t>
            </w:r>
          </w:p>
        </w:tc>
      </w:tr>
      <w:tr>
        <w:tc>
          <w:tcPr>
            <w:tcW w:type="dxa" w:w="5040"/>
          </w:tcPr>
          <w:p>
            <w:r>
              <w:t>Title</w:t>
            </w:r>
          </w:p>
        </w:tc>
        <w:tc>
          <w:tcPr>
            <w:tcW w:type="dxa" w:w="5040"/>
          </w:tcPr>
          <w:p>
            <w:r>
              <w:t>What happens to existing surveys created by external users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</w:tcPr>
          <w:p>
            <w:r>
              <w:t>Section</w:t>
            </w:r>
          </w:p>
        </w:tc>
        <w:tc>
          <w:tcPr>
            <w:tcW w:type="dxa" w:w="5040"/>
          </w:tcPr>
          <w:p>
            <w:r>
              <w:t>16 - EU institutional-use transition</w:t>
            </w:r>
          </w:p>
        </w:tc>
      </w:tr>
      <w:tr>
        <w:tc>
          <w:tcPr>
            <w:tcW w:type="dxa" w:w="5040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External survey managers; EU institutional survey owners</w:t>
            </w:r>
          </w:p>
        </w:tc>
      </w:tr>
      <w:tr>
        <w:tc>
          <w:tcPr>
            <w:tcW w:type="dxa" w:w="5040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FAQ / policy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Draft normalized article</w:t>
            </w:r>
          </w:p>
        </w:tc>
      </w:tr>
      <w:tr>
        <w:tc>
          <w:tcPr>
            <w:tcW w:type="dxa" w:w="5040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EUSurvey transition, external users, EU institutional use, survey creation restriction, read-only, closure, transfer ownership</w:t>
            </w:r>
          </w:p>
        </w:tc>
      </w:tr>
      <w:tr>
        <w:tc>
          <w:tcPr>
            <w:tcW w:type="dxa" w:w="5040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Communication - EU Transition v9.pdf, pages 1-10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Draft normalized article - generated from provided source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EUSurvey Knowledge Base - Normalized RAG Article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38AE08D-2130-494B-AF22-7D6A3E84152D}"/>
</file>

<file path=customXml/itemProps3.xml><?xml version="1.0" encoding="utf-8"?>
<ds:datastoreItem xmlns:ds="http://schemas.openxmlformats.org/officeDocument/2006/customXml" ds:itemID="{C7638435-1998-4534-8EEB-1056BD29FAD1}"/>
</file>

<file path=customXml/itemProps4.xml><?xml version="1.0" encoding="utf-8"?>
<ds:datastoreItem xmlns:ds="http://schemas.openxmlformats.org/officeDocument/2006/customXml" ds:itemID="{8D6B1CDA-B433-4AF4-A5AA-4FC4FD66C19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