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SM-16.08 - How to transfer a survey to an EU institution</w:t>
      </w:r>
    </w:p>
    <w:p>
      <w:r>
        <w:rPr>
          <w:b/>
        </w:rPr>
        <w:t xml:space="preserve">Section: </w:t>
      </w:r>
      <w:r>
        <w:t>16 - EU institutional-use transition</w:t>
      </w:r>
    </w:p>
    <w:p>
      <w:r>
        <w:rPr>
          <w:b/>
        </w:rPr>
        <w:t xml:space="preserve">Purpose: </w:t>
      </w:r>
      <w:r>
        <w:t>Explain how survey ownership can be transferred to an EU institutional account.</w:t>
      </w:r>
    </w:p>
    <w:p>
      <w:pPr>
        <w:pStyle w:val="Heading1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Audience: External survey managers; EU institutional survey owners</w:t>
      </w:r>
    </w:p>
    <w:p>
      <w:pPr>
        <w:pStyle w:val="ListBullet"/>
      </w:pPr>
      <w:r>
        <w:t>Feature: EU institutional-use transition</w:t>
      </w:r>
    </w:p>
    <w:p>
      <w:pPr>
        <w:pStyle w:val="ListBullet"/>
      </w:pPr>
      <w:r>
        <w:t>Article type: FAQ / policy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How do I transfer a survey to an EU institution?</w:t>
      </w:r>
    </w:p>
    <w:p>
      <w:pPr>
        <w:pStyle w:val="Heading1"/>
      </w:pPr>
      <w:r>
        <w:t>Direct answer</w:t>
      </w:r>
    </w:p>
    <w:p>
      <w:r>
        <w:t>A survey can be transferred to an EU institution using the Change Owner feature. After transfer, the survey continues to function under institutional management.</w:t>
      </w:r>
    </w:p>
    <w:p>
      <w:pPr>
        <w:pStyle w:val="Heading1"/>
      </w:pPr>
      <w:r>
        <w:t>Guidance / procedure</w:t>
      </w:r>
    </w:p>
    <w:p>
      <w:pPr>
        <w:pStyle w:val="Heading2"/>
      </w:pPr>
      <w:r>
        <w:t>Procedure</w:t>
      </w:r>
    </w:p>
    <w:p>
      <w:pPr>
        <w:pStyle w:val="ListNumber"/>
      </w:pPr>
      <w:r>
        <w:t>Identify a contact in the relevant EU institution.</w:t>
      </w:r>
    </w:p>
    <w:p>
      <w:pPr>
        <w:pStyle w:val="ListNumber"/>
      </w:pPr>
      <w:r>
        <w:t>Use the Change Owner option in EUSurvey.</w:t>
      </w:r>
    </w:p>
    <w:p>
      <w:pPr>
        <w:pStyle w:val="ListNumber"/>
      </w:pPr>
      <w:r>
        <w:t>Transfer the survey to the institutional account.</w:t>
      </w:r>
    </w:p>
    <w:p>
      <w:pPr>
        <w:pStyle w:val="ListNumber"/>
      </w:pPr>
      <w:r>
        <w:t>After transfer, ensure the external user has the appropriate permissions if they still need to manage the survey.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SM-16.04 - EUSurvey transition timeline for external users</w:t>
      </w:r>
    </w:p>
    <w:p>
      <w:pPr>
        <w:pStyle w:val="ListBullet"/>
      </w:pPr>
      <w:r>
        <w:t>SM-16.08 - How to transfer a survey to an EU institution</w:t>
      </w:r>
    </w:p>
    <w:p>
      <w:pPr>
        <w:pStyle w:val="ListBullet"/>
      </w:pPr>
      <w:r>
        <w:t>SM-16.10 - How external users can export survey data during the transition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Article number</w:t>
            </w:r>
          </w:p>
        </w:tc>
        <w:tc>
          <w:tcPr>
            <w:tcW w:type="dxa" w:w="5040"/>
          </w:tcPr>
          <w:p>
            <w:r>
              <w:t>SM-16.08</w:t>
            </w:r>
          </w:p>
        </w:tc>
      </w:tr>
      <w:tr>
        <w:tc>
          <w:tcPr>
            <w:tcW w:type="dxa" w:w="5040"/>
          </w:tcPr>
          <w:p>
            <w:r>
              <w:t>Title</w:t>
            </w:r>
          </w:p>
        </w:tc>
        <w:tc>
          <w:tcPr>
            <w:tcW w:type="dxa" w:w="5040"/>
          </w:tcPr>
          <w:p>
            <w:r>
              <w:t>How to transfer a survey to an EU institution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</w:tcPr>
          <w:p>
            <w:r>
              <w:t>Section</w:t>
            </w:r>
          </w:p>
        </w:tc>
        <w:tc>
          <w:tcPr>
            <w:tcW w:type="dxa" w:w="5040"/>
          </w:tcPr>
          <w:p>
            <w:r>
              <w:t>16 - EU institutional-use transition</w:t>
            </w:r>
          </w:p>
        </w:tc>
      </w:tr>
      <w:tr>
        <w:tc>
          <w:tcPr>
            <w:tcW w:type="dxa" w:w="5040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External survey managers; EU institutional survey owners</w:t>
            </w:r>
          </w:p>
        </w:tc>
      </w:tr>
      <w:tr>
        <w:tc>
          <w:tcPr>
            <w:tcW w:type="dxa" w:w="5040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FAQ / policy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Draft normalized article</w:t>
            </w:r>
          </w:p>
        </w:tc>
      </w:tr>
      <w:tr>
        <w:tc>
          <w:tcPr>
            <w:tcW w:type="dxa" w:w="5040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EUSurvey transition, external users, EU institutional use, survey creation restriction, read-only, closure, transfer ownership</w:t>
            </w:r>
          </w:p>
        </w:tc>
      </w:tr>
      <w:tr>
        <w:tc>
          <w:tcPr>
            <w:tcW w:type="dxa" w:w="5040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Communication - EU Transition v9.pdf, pages 1-10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Draft normalized article - generated from provided source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EUSurvey Knowledge Base - Normalized RAG Article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EEC39E0-DE7F-4415-B3C3-34127C5536D6}"/>
</file>

<file path=customXml/itemProps3.xml><?xml version="1.0" encoding="utf-8"?>
<ds:datastoreItem xmlns:ds="http://schemas.openxmlformats.org/officeDocument/2006/customXml" ds:itemID="{8DA4AF88-C948-42BB-8C6C-9CA7E76CEA56}"/>
</file>

<file path=customXml/itemProps4.xml><?xml version="1.0" encoding="utf-8"?>
<ds:datastoreItem xmlns:ds="http://schemas.openxmlformats.org/officeDocument/2006/customXml" ds:itemID="{571F74D4-C696-4763-906B-9D466618AC9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