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SM-16.09 - What ongoing EU-funded projects should do during the transition</w:t>
      </w:r>
    </w:p>
    <w:p>
      <w:r>
        <w:rPr>
          <w:b/>
        </w:rPr>
        <w:t xml:space="preserve">Section: </w:t>
      </w:r>
      <w:r>
        <w:t>16 - EU institutional-use transition</w:t>
      </w:r>
    </w:p>
    <w:p>
      <w:r>
        <w:rPr>
          <w:b/>
        </w:rPr>
        <w:t xml:space="preserve">Purpose: </w:t>
      </w:r>
      <w:r>
        <w:t>Explain how the transition applies to EU-funded projects.</w:t>
      </w:r>
    </w:p>
    <w:p>
      <w:pPr>
        <w:pStyle w:val="Heading1"/>
      </w:pPr>
      <w:r>
        <w:t>Applies to</w:t>
      </w:r>
    </w:p>
    <w:p>
      <w:pPr>
        <w:pStyle w:val="ListBullet"/>
      </w:pPr>
      <w:r>
        <w:t>Product: EUSurvey</w:t>
      </w:r>
    </w:p>
    <w:p>
      <w:pPr>
        <w:pStyle w:val="ListBullet"/>
      </w:pPr>
      <w:r>
        <w:t>Audience: External survey managers; EU institutional survey owners</w:t>
      </w:r>
    </w:p>
    <w:p>
      <w:pPr>
        <w:pStyle w:val="ListBullet"/>
      </w:pPr>
      <w:r>
        <w:t>Feature: EU institutional-use transition</w:t>
      </w:r>
    </w:p>
    <w:p>
      <w:pPr>
        <w:pStyle w:val="ListBullet"/>
      </w:pPr>
      <w:r>
        <w:t>Article type: FAQ / policy</w:t>
      </w:r>
    </w:p>
    <w:p>
      <w:pPr>
        <w:pStyle w:val="Heading1"/>
      </w:pPr>
      <w:r>
        <w:t>User question examples</w:t>
      </w:r>
    </w:p>
    <w:p>
      <w:pPr>
        <w:pStyle w:val="ListBullet"/>
      </w:pPr>
      <w:r>
        <w:t>What ongoing EU-funded projects should do during the transition?</w:t>
      </w:r>
    </w:p>
    <w:p>
      <w:pPr>
        <w:pStyle w:val="Heading1"/>
      </w:pPr>
      <w:r>
        <w:t>Direct answer</w:t>
      </w:r>
    </w:p>
    <w:p>
      <w:r>
        <w:t>EU-funded projects are not automatically exempt. If a survey is owned by an external user, it follows the same transition timeline. To continue using EUSurvey beyond the transition period, the survey should be transferred to an EU institutional account or created under EU institutional ownership with appropriate permissions for external project users.</w:t>
      </w:r>
    </w:p>
    <w:p>
      <w:pPr>
        <w:pStyle w:val="Heading1"/>
      </w:pPr>
      <w:r>
        <w:t>Important notes</w:t>
      </w:r>
    </w:p>
    <w:p>
      <w:pPr>
        <w:pStyle w:val="ListBullet"/>
      </w:pPr>
      <w:r>
        <w:t>Project coordinators should review ownership and permissions early.</w:t>
      </w:r>
    </w:p>
    <w:p>
      <w:pPr>
        <w:pStyle w:val="Heading1"/>
      </w:pPr>
      <w:r>
        <w:t>Related articles</w:t>
      </w:r>
    </w:p>
    <w:p>
      <w:pPr>
        <w:pStyle w:val="ListBullet"/>
      </w:pPr>
      <w:r>
        <w:t>SM-16.04 - EUSurvey transition timeline for external users</w:t>
      </w:r>
    </w:p>
    <w:p>
      <w:pPr>
        <w:pStyle w:val="ListBullet"/>
      </w:pPr>
      <w:r>
        <w:t>SM-16.08 - How to transfer a survey to an EU institution</w:t>
      </w:r>
    </w:p>
    <w:p>
      <w:pPr>
        <w:pStyle w:val="ListBullet"/>
      </w:pPr>
      <w:r>
        <w:t>SM-16.10 - How external users can export survey data during the transition</w:t>
      </w:r>
    </w:p>
    <w:p>
      <w:pPr>
        <w:pStyle w:val="Heading1"/>
      </w:pPr>
      <w:r>
        <w:t>RAG metadata</w:t>
      </w:r>
    </w:p>
    <w:tbl>
      <w:tblPr>
        <w:tblStyle w:val="TableGrid"/>
        <w:tblW w:type="auto" w:w="0"/>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Value</w:t>
            </w:r>
          </w:p>
        </w:tc>
      </w:tr>
      <w:tr>
        <w:tc>
          <w:tcPr>
            <w:tcW w:type="dxa" w:w="5040"/>
          </w:tcPr>
          <w:p>
            <w:r>
              <w:t>Article number</w:t>
            </w:r>
          </w:p>
        </w:tc>
        <w:tc>
          <w:tcPr>
            <w:tcW w:type="dxa" w:w="5040"/>
          </w:tcPr>
          <w:p>
            <w:r>
              <w:t>SM-16.09</w:t>
            </w:r>
          </w:p>
        </w:tc>
      </w:tr>
      <w:tr>
        <w:tc>
          <w:tcPr>
            <w:tcW w:type="dxa" w:w="5040"/>
          </w:tcPr>
          <w:p>
            <w:r>
              <w:t>Title</w:t>
            </w:r>
          </w:p>
        </w:tc>
        <w:tc>
          <w:tcPr>
            <w:tcW w:type="dxa" w:w="5040"/>
          </w:tcPr>
          <w:p>
            <w:r>
              <w:t>What ongoing EU-funded projects should do during the transition</w:t>
            </w:r>
          </w:p>
        </w:tc>
      </w:tr>
      <w:tr>
        <w:tc>
          <w:tcPr>
            <w:tcW w:type="dxa" w:w="5040"/>
          </w:tcPr>
          <w:p>
            <w:r>
              <w:t>Product</w:t>
            </w:r>
          </w:p>
        </w:tc>
        <w:tc>
          <w:tcPr>
            <w:tcW w:type="dxa" w:w="5040"/>
          </w:tcPr>
          <w:p>
            <w:r>
              <w:t>EUSurvey</w:t>
            </w:r>
          </w:p>
        </w:tc>
      </w:tr>
      <w:tr>
        <w:tc>
          <w:tcPr>
            <w:tcW w:type="dxa" w:w="5040"/>
          </w:tcPr>
          <w:p>
            <w:r>
              <w:t>Section</w:t>
            </w:r>
          </w:p>
        </w:tc>
        <w:tc>
          <w:tcPr>
            <w:tcW w:type="dxa" w:w="5040"/>
          </w:tcPr>
          <w:p>
            <w:r>
              <w:t>16 - EU institutional-use transition</w:t>
            </w:r>
          </w:p>
        </w:tc>
      </w:tr>
      <w:tr>
        <w:tc>
          <w:tcPr>
            <w:tcW w:type="dxa" w:w="5040"/>
          </w:tcPr>
          <w:p>
            <w:r>
              <w:t>Audience</w:t>
            </w:r>
          </w:p>
        </w:tc>
        <w:tc>
          <w:tcPr>
            <w:tcW w:type="dxa" w:w="5040"/>
          </w:tcPr>
          <w:p>
            <w:r>
              <w:t>External survey managers; EU institutional survey owners</w:t>
            </w:r>
          </w:p>
        </w:tc>
      </w:tr>
      <w:tr>
        <w:tc>
          <w:tcPr>
            <w:tcW w:type="dxa" w:w="5040"/>
          </w:tcPr>
          <w:p>
            <w:r>
              <w:t>Article type</w:t>
            </w:r>
          </w:p>
        </w:tc>
        <w:tc>
          <w:tcPr>
            <w:tcW w:type="dxa" w:w="5040"/>
          </w:tcPr>
          <w:p>
            <w:r>
              <w:t>FAQ / policy</w:t>
            </w:r>
          </w:p>
        </w:tc>
      </w:tr>
      <w:tr>
        <w:tc>
          <w:tcPr>
            <w:tcW w:type="dxa" w:w="5040"/>
          </w:tcPr>
          <w:p>
            <w:r>
              <w:t>Status</w:t>
            </w:r>
          </w:p>
        </w:tc>
        <w:tc>
          <w:tcPr>
            <w:tcW w:type="dxa" w:w="5040"/>
          </w:tcPr>
          <w:p>
            <w:r>
              <w:t>Draft normalized article</w:t>
            </w:r>
          </w:p>
        </w:tc>
      </w:tr>
      <w:tr>
        <w:tc>
          <w:tcPr>
            <w:tcW w:type="dxa" w:w="5040"/>
          </w:tcPr>
          <w:p>
            <w:r>
              <w:t>Keywords</w:t>
            </w:r>
          </w:p>
        </w:tc>
        <w:tc>
          <w:tcPr>
            <w:tcW w:type="dxa" w:w="5040"/>
          </w:tcPr>
          <w:p>
            <w:r>
              <w:t>EUSurvey transition, external users, EU institutional use, survey creation restriction, read-only, closure, transfer ownership</w:t>
            </w:r>
          </w:p>
        </w:tc>
      </w:tr>
      <w:tr>
        <w:tc>
          <w:tcPr>
            <w:tcW w:type="dxa" w:w="5040"/>
          </w:tcPr>
          <w:p>
            <w:r>
              <w:t>Source</w:t>
            </w:r>
          </w:p>
        </w:tc>
        <w:tc>
          <w:tcPr>
            <w:tcW w:type="dxa" w:w="5040"/>
          </w:tcPr>
          <w:p>
            <w:r>
              <w:t>Communication - EU Transition v9.pdf, pages 1-10</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normalized article - generated from provided source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EUSurvey Knowledge Base - Normalized RAG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C44994C-D04E-4512-907F-5E71429DFF41}"/>
</file>

<file path=customXml/itemProps3.xml><?xml version="1.0" encoding="utf-8"?>
<ds:datastoreItem xmlns:ds="http://schemas.openxmlformats.org/officeDocument/2006/customXml" ds:itemID="{77030108-91D8-410B-9A9B-BEA3918BB56F}"/>
</file>

<file path=customXml/itemProps4.xml><?xml version="1.0" encoding="utf-8"?>
<ds:datastoreItem xmlns:ds="http://schemas.openxmlformats.org/officeDocument/2006/customXml" ds:itemID="{C8133085-19EC-4015-80AD-F92CB0984B7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