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SM-16.11 - What happens when external-user surveys become read-only</w:t>
      </w:r>
    </w:p>
    <w:p>
      <w:r>
        <w:rPr>
          <w:b/>
        </w:rPr>
        <w:t xml:space="preserve">Section: </w:t>
      </w:r>
      <w:r>
        <w:t>16 - EU institutional-use transition</w:t>
      </w:r>
    </w:p>
    <w:p>
      <w:r>
        <w:rPr>
          <w:b/>
        </w:rPr>
        <w:t xml:space="preserve">Purpose: </w:t>
      </w:r>
      <w:r>
        <w:t>Explain the consequences of read-only mode.</w:t>
      </w:r>
    </w:p>
    <w:p>
      <w:pPr>
        <w:pStyle w:val="Heading1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Audience: External survey managers; EU institutional survey owners</w:t>
      </w:r>
    </w:p>
    <w:p>
      <w:pPr>
        <w:pStyle w:val="ListBullet"/>
      </w:pPr>
      <w:r>
        <w:t>Feature: EU institutional-use transition</w:t>
      </w:r>
    </w:p>
    <w:p>
      <w:pPr>
        <w:pStyle w:val="ListBullet"/>
      </w:pPr>
      <w:r>
        <w:t>Article type: FAQ / policy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What happens when external-user surveys become read-only?</w:t>
      </w:r>
    </w:p>
    <w:p>
      <w:pPr>
        <w:pStyle w:val="Heading1"/>
      </w:pPr>
      <w:r>
        <w:t>Direct answer</w:t>
      </w:r>
    </w:p>
    <w:p>
      <w:r>
        <w:t>When external-user surveys switch to read-only mode, they cannot be edited, published surveys are automatically unpublished, and no new responses can be collected. Surveys remain accessible for consultation and data export until final closure.</w:t>
      </w:r>
    </w:p>
    <w:p>
      <w:pPr>
        <w:pStyle w:val="Heading1"/>
      </w:pPr>
      <w:r>
        <w:t>Important notes</w:t>
      </w:r>
    </w:p>
    <w:p>
      <w:pPr>
        <w:pStyle w:val="ListBullet"/>
      </w:pPr>
      <w:r>
        <w:t>Users should export their data before final closure.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SM-16.04 - EUSurvey transition timeline for external users</w:t>
      </w:r>
    </w:p>
    <w:p>
      <w:pPr>
        <w:pStyle w:val="ListBullet"/>
      </w:pPr>
      <w:r>
        <w:t>SM-16.08 - How to transfer a survey to an EU institution</w:t>
      </w:r>
    </w:p>
    <w:p>
      <w:pPr>
        <w:pStyle w:val="ListBullet"/>
      </w:pPr>
      <w:r>
        <w:t>SM-16.10 - How external users can export survey data during the transition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Article number</w:t>
            </w:r>
          </w:p>
        </w:tc>
        <w:tc>
          <w:tcPr>
            <w:tcW w:type="dxa" w:w="5040"/>
          </w:tcPr>
          <w:p>
            <w:r>
              <w:t>SM-16.11</w:t>
            </w:r>
          </w:p>
        </w:tc>
      </w:tr>
      <w:tr>
        <w:tc>
          <w:tcPr>
            <w:tcW w:type="dxa" w:w="5040"/>
          </w:tcPr>
          <w:p>
            <w:r>
              <w:t>Title</w:t>
            </w:r>
          </w:p>
        </w:tc>
        <w:tc>
          <w:tcPr>
            <w:tcW w:type="dxa" w:w="5040"/>
          </w:tcPr>
          <w:p>
            <w:r>
              <w:t>What happens when external-user surveys become read-only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</w:tcPr>
          <w:p>
            <w:r>
              <w:t>Section</w:t>
            </w:r>
          </w:p>
        </w:tc>
        <w:tc>
          <w:tcPr>
            <w:tcW w:type="dxa" w:w="5040"/>
          </w:tcPr>
          <w:p>
            <w:r>
              <w:t>16 - EU institutional-use transition</w:t>
            </w:r>
          </w:p>
        </w:tc>
      </w:tr>
      <w:tr>
        <w:tc>
          <w:tcPr>
            <w:tcW w:type="dxa" w:w="5040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External survey managers; EU institutional survey owners</w:t>
            </w:r>
          </w:p>
        </w:tc>
      </w:tr>
      <w:tr>
        <w:tc>
          <w:tcPr>
            <w:tcW w:type="dxa" w:w="5040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FAQ / policy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Draft normalized article</w:t>
            </w:r>
          </w:p>
        </w:tc>
      </w:tr>
      <w:tr>
        <w:tc>
          <w:tcPr>
            <w:tcW w:type="dxa" w:w="5040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EUSurvey transition, external users, EU institutional use, survey creation restriction, read-only, closure, transfer ownership</w:t>
            </w:r>
          </w:p>
        </w:tc>
      </w:tr>
      <w:tr>
        <w:tc>
          <w:tcPr>
            <w:tcW w:type="dxa" w:w="5040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Communication - EU Transition v9.pdf, pages 1-10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normalized article - generated from provided source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EUSurvey Knowledge Base - Normalized RAG Article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56F378-7E1D-479C-8012-D57DA5079E9F}"/>
</file>

<file path=customXml/itemProps3.xml><?xml version="1.0" encoding="utf-8"?>
<ds:datastoreItem xmlns:ds="http://schemas.openxmlformats.org/officeDocument/2006/customXml" ds:itemID="{9C88E699-D409-4AE2-9CF2-1BFB44260AF8}"/>
</file>

<file path=customXml/itemProps4.xml><?xml version="1.0" encoding="utf-8"?>
<ds:datastoreItem xmlns:ds="http://schemas.openxmlformats.org/officeDocument/2006/customXml" ds:itemID="{EBBDB79F-C4DB-4C81-81D8-0ED529F4792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