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SM-16.12 - Alternatives for external users after the EUSurvey transition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Describe the alternatives available to external users.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Alternatives for external users after the transition?</w:t>
      </w:r>
    </w:p>
    <w:p>
      <w:pPr>
        <w:pStyle w:val="Heading1"/>
      </w:pPr>
      <w:r>
        <w:t>Direct answer</w:t>
      </w:r>
    </w:p>
    <w:p>
      <w:r>
        <w:t>External users can work with an EU institution, use another survey platform, or deploy their own EUSurvey instance under the European Union Public Licence.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An EU official can create the survey and grant Form Manager privileges.</w:t>
      </w:r>
    </w:p>
    <w:p>
      <w:pPr>
        <w:pStyle w:val="ListBullet"/>
      </w:pPr>
      <w:r>
        <w:t>External users may choose another commercial or open-source survey platform that meets their requirements.</w:t>
      </w:r>
    </w:p>
    <w:p>
      <w:pPr>
        <w:pStyle w:val="ListBullet"/>
      </w:pPr>
      <w:r>
        <w:t>Organizations can deploy their own EUSurvey instance from the open-source code and host it on their infrastructure.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SM-16.12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Alternatives for external users after the EUSurvey transition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69BB77-31F6-4DB5-8724-021AD4BE9075}"/>
</file>

<file path=customXml/itemProps3.xml><?xml version="1.0" encoding="utf-8"?>
<ds:datastoreItem xmlns:ds="http://schemas.openxmlformats.org/officeDocument/2006/customXml" ds:itemID="{093F92C8-EF6D-4E0B-A521-514504AA6F87}"/>
</file>

<file path=customXml/itemProps4.xml><?xml version="1.0" encoding="utf-8"?>
<ds:datastoreItem xmlns:ds="http://schemas.openxmlformats.org/officeDocument/2006/customXml" ds:itemID="{8E92DC1D-3451-469A-B5B6-709E35F0FE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